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p>
      <w:pPr>
        <w:pStyle w:val="4"/>
        <w:keepNext w:val="0"/>
        <w:keepLines w:val="0"/>
        <w:pageBreakBefore w:val="0"/>
        <w:widowControl w:val="0"/>
        <w:kinsoku/>
        <w:overflowPunct/>
        <w:topLinePunct w:val="0"/>
        <w:autoSpaceDE/>
        <w:autoSpaceDN/>
        <w:bidi w:val="0"/>
        <w:spacing w:line="560" w:lineRule="exact"/>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巴彦淖尔市</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2025年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家电“以旧换新”</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活动</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销售企业</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承诺函</w:t>
      </w:r>
      <w:bookmarkEnd w:id="0"/>
    </w:p>
    <w:p>
      <w:pPr>
        <w:pStyle w:val="4"/>
        <w:keepNext w:val="0"/>
        <w:keepLines w:val="0"/>
        <w:pageBreakBefore w:val="0"/>
        <w:widowControl w:val="0"/>
        <w:kinsoku/>
        <w:overflowPunct/>
        <w:topLinePunct w:val="0"/>
        <w:autoSpaceDE/>
        <w:autoSpaceDN/>
        <w:bidi w:val="0"/>
        <w:spacing w:line="560" w:lineRule="exact"/>
        <w:ind w:left="0" w:leftChars="0" w:firstLine="0" w:firstLineChars="0"/>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巴彦淖尔市商务局</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本单位</w:t>
      </w:r>
      <w:r>
        <w:rPr>
          <w:rFonts w:hint="eastAsia" w:ascii="仿宋_GB2312" w:eastAsia="仿宋_GB2312"/>
          <w:color w:val="000000" w:themeColor="text1"/>
          <w:sz w:val="32"/>
          <w:szCs w:val="32"/>
          <w14:textFill>
            <w14:solidFill>
              <w14:schemeClr w14:val="tx1"/>
            </w14:solidFill>
          </w14:textFill>
        </w:rPr>
        <w:t>自愿参加</w:t>
      </w:r>
      <w:r>
        <w:rPr>
          <w:rFonts w:hint="eastAsia" w:ascii="仿宋_GB2312" w:eastAsia="仿宋_GB2312"/>
          <w:color w:val="000000" w:themeColor="text1"/>
          <w:sz w:val="32"/>
          <w:szCs w:val="32"/>
          <w:lang w:eastAsia="zh-CN"/>
          <w14:textFill>
            <w14:solidFill>
              <w14:schemeClr w14:val="tx1"/>
            </w14:solidFill>
          </w14:textFill>
        </w:rPr>
        <w:t>巴彦淖尔市</w:t>
      </w:r>
      <w:r>
        <w:rPr>
          <w:rFonts w:hint="eastAsia" w:ascii="仿宋_GB2312" w:eastAsia="仿宋_GB2312"/>
          <w:color w:val="000000" w:themeColor="text1"/>
          <w:sz w:val="32"/>
          <w:szCs w:val="32"/>
          <w14:textFill>
            <w14:solidFill>
              <w14:schemeClr w14:val="tx1"/>
            </w14:solidFill>
          </w14:textFill>
        </w:rPr>
        <w:t>家电“以旧换新”活动,了解并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遵守以下规则要求：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一、承诺以下事项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1.严格遵守巴彦淖尔市商务局关于家电以旧换新补贴的相关规定和后续配</w:t>
      </w:r>
      <w:r>
        <w:rPr>
          <w:rFonts w:hint="eastAsia" w:ascii="仿宋_GB2312" w:hAnsi="仿宋_GB2312" w:eastAsia="仿宋_GB2312" w:cs="仿宋_GB2312"/>
          <w:kern w:val="2"/>
          <w:sz w:val="32"/>
          <w:szCs w:val="32"/>
          <w:lang w:val="en-US" w:eastAsia="zh-CN" w:bidi="ar-SA"/>
        </w:rPr>
        <w:t>套政策，认真实施家电以旧换新工作。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2.“以旧换新”的产品价格为正常市场价或活动优惠价。相应产品销售价格不高于同期、同类线上线下产品价格。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3.加强销售网点现场管理，杜绝商场内出现非法中介人员或驻店厂商人员向家电购买人兜售旧机或消费券。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4.在消费者核销购买商品时，</w:t>
      </w:r>
      <w:r>
        <w:rPr>
          <w:rFonts w:hint="eastAsia" w:ascii="仿宋_GB2312" w:hAnsi="仿宋_GB2312" w:eastAsia="仿宋_GB2312" w:cs="仿宋_GB2312"/>
          <w:sz w:val="32"/>
          <w:szCs w:val="32"/>
        </w:rPr>
        <w:t>仅</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政策规定的品类，不得用于其他类商品优惠</w:t>
      </w:r>
      <w:r>
        <w:rPr>
          <w:rFonts w:hint="eastAsia" w:ascii="仿宋_GB2312" w:hAnsi="仿宋_GB2312" w:eastAsia="仿宋_GB2312" w:cs="仿宋_GB2312"/>
          <w:sz w:val="32"/>
          <w:szCs w:val="32"/>
          <w:lang w:eastAsia="zh-CN"/>
        </w:rPr>
        <w:t>，并承诺所参加商品均为国家标准1级及以上能效或水效标准的家电产品和2级（包括无能耗级别的产品）及以上能效或水效标准的家电产品。如有以高能耗产品冒充低能耗家电产品行为，</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lang w:eastAsia="zh-CN"/>
        </w:rPr>
        <w:t>主办方可</w:t>
      </w:r>
      <w:r>
        <w:rPr>
          <w:rFonts w:hint="eastAsia" w:ascii="仿宋_GB2312" w:hAnsi="仿宋_GB2312" w:eastAsia="仿宋_GB2312" w:cs="仿宋_GB2312"/>
          <w:sz w:val="32"/>
          <w:szCs w:val="32"/>
        </w:rPr>
        <w:t>立刻取消</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活动参与资格</w:t>
      </w:r>
      <w:r>
        <w:rPr>
          <w:rFonts w:hint="eastAsia" w:ascii="仿宋_GB2312" w:hAnsi="仿宋_GB2312" w:eastAsia="仿宋_GB2312" w:cs="仿宋_GB2312"/>
          <w:sz w:val="32"/>
          <w:szCs w:val="32"/>
          <w:lang w:eastAsia="zh-CN"/>
        </w:rPr>
        <w:t>，向企业</w:t>
      </w:r>
      <w:r>
        <w:rPr>
          <w:rFonts w:hint="eastAsia" w:ascii="仿宋_GB2312" w:hAnsi="仿宋_GB2312" w:eastAsia="仿宋_GB2312" w:cs="仿宋_GB2312"/>
          <w:sz w:val="32"/>
          <w:szCs w:val="32"/>
          <w:lang w:val="en-US" w:eastAsia="zh-CN"/>
        </w:rPr>
        <w:t>追回违规发放资金并将企业列入失信名单。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5.诚信经营，保证商品质量和服务质量，杜绝假冒伪劣、以次充好、以旧充新的产品进入市场流通。</w:t>
      </w:r>
      <w:r>
        <w:rPr>
          <w:rFonts w:hint="eastAsia" w:ascii="仿宋_GB2312" w:hAnsi="仿宋_GB2312" w:eastAsia="仿宋_GB2312" w:cs="仿宋_GB2312"/>
          <w:sz w:val="32"/>
          <w:szCs w:val="32"/>
        </w:rPr>
        <w:t>主动制止任何方式套取财政资金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违反活动规则、恶意骗取优惠的行为。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rPr>
        <w:t>按要求布放活动</w:t>
      </w:r>
      <w:r>
        <w:rPr>
          <w:rFonts w:hint="eastAsia" w:ascii="仿宋_GB2312" w:hAnsi="仿宋_GB2312" w:eastAsia="仿宋_GB2312" w:cs="仿宋_GB2312"/>
          <w:sz w:val="32"/>
          <w:szCs w:val="32"/>
          <w:lang w:val="en-US" w:eastAsia="zh-CN"/>
        </w:rPr>
        <w:t>宣传物料</w:t>
      </w:r>
      <w:r>
        <w:rPr>
          <w:rFonts w:hint="eastAsia" w:ascii="仿宋_GB2312" w:hAnsi="仿宋_GB2312" w:eastAsia="仿宋_GB2312" w:cs="仿宋_GB2312"/>
          <w:sz w:val="32"/>
          <w:szCs w:val="32"/>
        </w:rPr>
        <w:t>,须提供不少于1种宣传物料支持，如海报、收银台台卡等。</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有权在自有宣传渠道免费使用商户商标、标志、标识和店铺图片等用于本次活动宣传，自有宣传渠道不限于短信、微信、官网等。</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保证所提供的图片未侵犯他人的任何权利。</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7.承诺规范使用补贴资金，保留相应的核销凭证资料，形成台账，将相应台账资料提交给活动主办或承办方，并在第三方审计时配合提供相关审计材料。做好清算工作，按规定退回不符合条件的补贴资金。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主办</w:t>
      </w:r>
      <w:r>
        <w:rPr>
          <w:rFonts w:hint="eastAsia" w:ascii="仿宋_GB2312" w:hAnsi="仿宋_GB2312" w:eastAsia="仿宋_GB2312" w:cs="仿宋_GB2312"/>
          <w:sz w:val="32"/>
          <w:szCs w:val="32"/>
          <w:lang w:val="en-US" w:eastAsia="zh-CN"/>
        </w:rPr>
        <w:t>方有权</w:t>
      </w:r>
      <w:r>
        <w:rPr>
          <w:rFonts w:hint="eastAsia" w:ascii="仿宋_GB2312" w:hAnsi="仿宋_GB2312" w:eastAsia="仿宋_GB2312" w:cs="仿宋_GB2312"/>
          <w:sz w:val="32"/>
          <w:szCs w:val="32"/>
        </w:rPr>
        <w:t>通过后台技术手段监测营销活动实施，如发现商</w:t>
      </w:r>
      <w:r>
        <w:rPr>
          <w:rFonts w:hint="eastAsia" w:ascii="仿宋_GB2312" w:hAnsi="仿宋_GB2312" w:eastAsia="仿宋_GB2312" w:cs="仿宋_GB2312"/>
          <w:sz w:val="32"/>
          <w:szCs w:val="32"/>
          <w:lang w:val="en-US" w:eastAsia="zh-CN"/>
        </w:rPr>
        <w:t>家存在</w:t>
      </w:r>
      <w:r>
        <w:rPr>
          <w:rFonts w:hint="eastAsia" w:ascii="仿宋_GB2312" w:hAnsi="仿宋_GB2312" w:eastAsia="仿宋_GB2312" w:cs="仿宋_GB2312"/>
          <w:kern w:val="2"/>
          <w:sz w:val="32"/>
          <w:szCs w:val="32"/>
          <w:lang w:val="en-US" w:eastAsia="zh-CN" w:bidi="ar-SA"/>
        </w:rPr>
        <w:t>作弊舞弊、利用不正</w:t>
      </w:r>
      <w:r>
        <w:rPr>
          <w:rFonts w:hint="eastAsia" w:ascii="仿宋_GB2312" w:hAnsi="仿宋_GB2312" w:eastAsia="仿宋_GB2312" w:cs="仿宋_GB2312"/>
          <w:sz w:val="32"/>
          <w:szCs w:val="32"/>
        </w:rPr>
        <w:t>当手段（包括但不限于刷单、套现、提供虚假证件或发票、虚假交易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非面对面扫码交易</w:t>
      </w:r>
      <w:r>
        <w:rPr>
          <w:rFonts w:hint="eastAsia" w:ascii="仿宋_GB2312" w:hAnsi="仿宋_GB2312" w:eastAsia="仿宋_GB2312" w:cs="仿宋_GB2312"/>
          <w:sz w:val="32"/>
          <w:szCs w:val="32"/>
        </w:rPr>
        <w:t>等）骗取套取补贴资金等违法违规行为，</w:t>
      </w:r>
      <w:r>
        <w:rPr>
          <w:rFonts w:hint="eastAsia" w:ascii="仿宋_GB2312" w:hAnsi="仿宋_GB2312" w:eastAsia="仿宋_GB2312" w:cs="仿宋_GB2312"/>
          <w:sz w:val="32"/>
          <w:szCs w:val="32"/>
          <w:lang w:eastAsia="zh-CN"/>
        </w:rPr>
        <w:t>主办方</w:t>
      </w:r>
      <w:r>
        <w:rPr>
          <w:rFonts w:hint="eastAsia" w:ascii="仿宋_GB2312" w:hAnsi="仿宋_GB2312" w:eastAsia="仿宋_GB2312" w:cs="仿宋_GB2312"/>
          <w:sz w:val="32"/>
          <w:szCs w:val="32"/>
        </w:rPr>
        <w:t>立即收回已发全部补贴资金，并取消企业和补贴对象参与后续活动的资格。具体判定依据和结果以</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认定为准。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提供的服务及产品问题引发的用户投诉、处理和争议等，应</w:t>
      </w:r>
      <w:r>
        <w:rPr>
          <w:rFonts w:hint="eastAsia" w:ascii="仿宋_GB2312" w:hAnsi="仿宋_GB2312" w:eastAsia="仿宋_GB2312" w:cs="仿宋_GB2312"/>
          <w:sz w:val="32"/>
          <w:szCs w:val="32"/>
          <w:lang w:val="en-US" w:eastAsia="zh-CN"/>
        </w:rPr>
        <w:t>由本单位自行</w:t>
      </w:r>
      <w:r>
        <w:rPr>
          <w:rFonts w:hint="eastAsia" w:ascii="仿宋_GB2312" w:hAnsi="仿宋_GB2312" w:eastAsia="仿宋_GB2312" w:cs="仿宋_GB2312"/>
          <w:sz w:val="32"/>
          <w:szCs w:val="32"/>
        </w:rPr>
        <w:t>负责解决，</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不承担任何责任。</w:t>
      </w:r>
    </w:p>
    <w:p>
      <w:pPr>
        <w:pStyle w:val="4"/>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sz w:val="32"/>
          <w:szCs w:val="32"/>
        </w:rPr>
      </w:pP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负责人（签字）：</w:t>
      </w:r>
      <w:r>
        <w:rPr>
          <w:rFonts w:hint="eastAsia" w:ascii="仿宋_GB2312" w:eastAsia="仿宋_GB2312"/>
          <w:sz w:val="32"/>
          <w:szCs w:val="32"/>
          <w:lang w:val="en-US" w:eastAsia="zh-CN"/>
        </w:rPr>
        <w:t xml:space="preserve">           </w:t>
      </w:r>
      <w:r>
        <w:rPr>
          <w:rFonts w:hint="eastAsia" w:ascii="仿宋_GB2312" w:eastAsia="仿宋_GB2312"/>
          <w:sz w:val="32"/>
          <w:szCs w:val="32"/>
        </w:rPr>
        <w:t>单位名称（盖章）：</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outlineLvl w:val="1"/>
      </w:pPr>
      <w:r>
        <w:rPr>
          <w:rFonts w:hint="eastAsia" w:ascii="仿宋_GB2312" w:eastAsia="仿宋_GB2312"/>
          <w:sz w:val="32"/>
          <w:szCs w:val="32"/>
          <w:lang w:val="en-US" w:eastAsia="zh-CN"/>
        </w:rPr>
        <w:t xml:space="preserve">                        </w:t>
      </w: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ascii="仿宋_GB2312" w:eastAsia="仿宋_GB2312"/>
          <w:sz w:val="32"/>
          <w:szCs w:val="32"/>
        </w:rPr>
        <w:t>月</w:t>
      </w:r>
      <w:r>
        <w:rPr>
          <w:rFonts w:hint="eastAsia" w:ascii="仿宋_GB2312" w:eastAsia="仿宋_GB2312"/>
          <w:sz w:val="32"/>
          <w:szCs w:val="32"/>
          <w:lang w:val="en-US" w:eastAsia="zh-CN"/>
        </w:rPr>
        <w:t xml:space="preserve">  </w:t>
      </w:r>
      <w:r>
        <w:rPr>
          <w:rFonts w:ascii="仿宋_GB2312" w:eastAsia="仿宋_GB2312"/>
          <w:sz w:val="32"/>
          <w:szCs w:val="32"/>
        </w:rPr>
        <w:t>日</w:t>
      </w:r>
      <w:r>
        <w:rPr>
          <w:rFonts w:hint="eastAsia" w:ascii="仿宋_GB2312" w:eastAsia="仿宋_GB2312"/>
          <w:sz w:val="32"/>
          <w:szCs w:val="32"/>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FF9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firstLineChars="200"/>
      <w:jc w:val="left"/>
    </w:pPr>
    <w:rPr>
      <w:rFonts w:ascii="Calibri" w:hAnsi="Calibri"/>
      <w:kern w:val="0"/>
      <w:sz w:val="24"/>
      <w:lang w:eastAsia="en-US" w:bidi="en-US"/>
    </w:rPr>
  </w:style>
  <w:style w:type="paragraph" w:styleId="3">
    <w:name w:val="Body Text Indent"/>
    <w:basedOn w:val="1"/>
    <w:next w:val="4"/>
    <w:qFormat/>
    <w:uiPriority w:val="0"/>
    <w:pPr>
      <w:ind w:left="420" w:leftChars="200"/>
    </w:pPr>
    <w:rPr>
      <w:rFonts w:ascii="Calibri" w:hAnsi="Calibri" w:eastAsia="宋体" w:cs="Times New Roman"/>
      <w:sz w:val="32"/>
      <w:szCs w:val="32"/>
    </w:rPr>
  </w:style>
  <w:style w:type="paragraph" w:styleId="4">
    <w:name w:val="Normal Indent"/>
    <w:basedOn w:val="1"/>
    <w:next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2025-01-16T10:53:03Z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