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pStyle w:val="4"/>
        <w:keepNext w:val="0"/>
        <w:keepLines w:val="0"/>
        <w:pageBreakBefore w:val="0"/>
        <w:widowControl w:val="0"/>
        <w:kinsoku/>
        <w:overflowPunct/>
        <w:topLinePunct w:val="0"/>
        <w:autoSpaceDE/>
        <w:autoSpaceDN/>
        <w:bidi w:val="0"/>
        <w:spacing w:line="560" w:lineRule="exact"/>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巴彦淖尔市</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w:t>
      </w:r>
      <w:bookmarkStart w:id="0" w:name="_GoBack"/>
      <w:bookmarkEnd w:id="0"/>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家电和数码产品“以旧换新”</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活动</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销售商户</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承诺函</w:t>
      </w:r>
    </w:p>
    <w:p>
      <w:pPr>
        <w:pStyle w:val="4"/>
        <w:keepNext w:val="0"/>
        <w:keepLines w:val="0"/>
        <w:pageBreakBefore w:val="0"/>
        <w:widowControl w:val="0"/>
        <w:kinsoku/>
        <w:overflowPunct/>
        <w:topLinePunct w:val="0"/>
        <w:autoSpaceDE/>
        <w:autoSpaceDN/>
        <w:bidi w:val="0"/>
        <w:spacing w:line="560" w:lineRule="exact"/>
        <w:ind w:left="0" w:leftChars="0" w:firstLine="0" w:firstLineChars="0"/>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XXXX旗县区商务局</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本单位</w:t>
      </w:r>
      <w:r>
        <w:rPr>
          <w:rFonts w:hint="eastAsia" w:ascii="仿宋_GB2312" w:eastAsia="仿宋_GB2312"/>
          <w:color w:val="000000" w:themeColor="text1"/>
          <w:sz w:val="32"/>
          <w:szCs w:val="32"/>
          <w14:textFill>
            <w14:solidFill>
              <w14:schemeClr w14:val="tx1"/>
            </w14:solidFill>
          </w14:textFill>
        </w:rPr>
        <w:t>自愿参加</w:t>
      </w:r>
      <w:r>
        <w:rPr>
          <w:rFonts w:hint="eastAsia" w:ascii="仿宋_GB2312" w:eastAsia="仿宋_GB2312"/>
          <w:color w:val="000000" w:themeColor="text1"/>
          <w:sz w:val="32"/>
          <w:szCs w:val="32"/>
          <w:lang w:eastAsia="zh-CN"/>
          <w14:textFill>
            <w14:solidFill>
              <w14:schemeClr w14:val="tx1"/>
            </w14:solidFill>
          </w14:textFill>
        </w:rPr>
        <w:t>巴彦淖尔市</w:t>
      </w:r>
      <w:r>
        <w:rPr>
          <w:rFonts w:hint="eastAsia" w:ascii="仿宋_GB2312" w:eastAsia="仿宋_GB2312"/>
          <w:color w:val="000000" w:themeColor="text1"/>
          <w:sz w:val="32"/>
          <w:szCs w:val="32"/>
          <w14:textFill>
            <w14:solidFill>
              <w14:schemeClr w14:val="tx1"/>
            </w14:solidFill>
          </w14:textFill>
        </w:rPr>
        <w:t>家电“以旧换新”活动,了解并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遵守以下规则要求：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一、承诺以下事项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1.严格遵守巴彦淖尔市商务局关于家电以旧换新补贴的相关规定和后续配</w:t>
      </w:r>
      <w:r>
        <w:rPr>
          <w:rFonts w:hint="eastAsia" w:ascii="仿宋_GB2312" w:hAnsi="仿宋_GB2312" w:eastAsia="仿宋_GB2312" w:cs="仿宋_GB2312"/>
          <w:kern w:val="2"/>
          <w:sz w:val="32"/>
          <w:szCs w:val="32"/>
          <w:lang w:val="en-US" w:eastAsia="zh-CN" w:bidi="ar-SA"/>
        </w:rPr>
        <w:t>套政策，认真实施家电以旧换新工作。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2.“以旧换新”的产品价格为正常市场价或活动优惠价，</w:t>
      </w:r>
      <w:r>
        <w:rPr>
          <w:rFonts w:hint="eastAsia" w:ascii="仿宋_GB2312" w:hAnsi="仿宋_GB2312" w:eastAsia="仿宋_GB2312" w:cs="仿宋_GB2312"/>
          <w:kern w:val="2"/>
          <w:sz w:val="32"/>
          <w:szCs w:val="32"/>
          <w:lang w:val="en-US" w:eastAsia="zh-CN" w:bidi="ar-SA"/>
        </w:rPr>
        <w:t>相应产品销售价格不高于同期同类产品在主流线上线下渠道的公开零售价格。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3.加强销售网点现场管理，杜绝商场内出现非法中介人员或驻店厂商人员向家电购买人兜售旧机或消费券。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4.在消费者核销购买商品时，</w:t>
      </w:r>
      <w:r>
        <w:rPr>
          <w:rFonts w:hint="eastAsia" w:ascii="仿宋_GB2312" w:hAnsi="仿宋_GB2312" w:eastAsia="仿宋_GB2312" w:cs="仿宋_GB2312"/>
          <w:sz w:val="32"/>
          <w:szCs w:val="32"/>
        </w:rPr>
        <w:t>仅</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政策规定的品类，不得用于其他类商品优惠</w:t>
      </w:r>
      <w:r>
        <w:rPr>
          <w:rFonts w:hint="eastAsia" w:ascii="仿宋_GB2312" w:hAnsi="仿宋_GB2312" w:eastAsia="仿宋_GB2312" w:cs="仿宋_GB2312"/>
          <w:sz w:val="32"/>
          <w:szCs w:val="32"/>
          <w:lang w:eastAsia="zh-CN"/>
        </w:rPr>
        <w:t>，并承诺所参加商品均为国家标准1级及以上能效或水效标准的家电产品和2级（包括无能耗级别的产品）及以上能效或水效标准的家电产品。如有以高能耗产品冒充低能耗家电产品行为，</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主办方可</w:t>
      </w:r>
      <w:r>
        <w:rPr>
          <w:rFonts w:hint="eastAsia" w:ascii="仿宋_GB2312" w:hAnsi="仿宋_GB2312" w:eastAsia="仿宋_GB2312" w:cs="仿宋_GB2312"/>
          <w:sz w:val="32"/>
          <w:szCs w:val="32"/>
        </w:rPr>
        <w:t>立刻取消</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活动参与资格</w:t>
      </w:r>
      <w:r>
        <w:rPr>
          <w:rFonts w:hint="eastAsia" w:ascii="仿宋_GB2312" w:hAnsi="仿宋_GB2312" w:eastAsia="仿宋_GB2312" w:cs="仿宋_GB2312"/>
          <w:sz w:val="32"/>
          <w:szCs w:val="32"/>
          <w:lang w:eastAsia="zh-CN"/>
        </w:rPr>
        <w:t>，向企业</w:t>
      </w:r>
      <w:r>
        <w:rPr>
          <w:rFonts w:hint="eastAsia" w:ascii="仿宋_GB2312" w:hAnsi="仿宋_GB2312" w:eastAsia="仿宋_GB2312" w:cs="仿宋_GB2312"/>
          <w:sz w:val="32"/>
          <w:szCs w:val="32"/>
          <w:lang w:val="en-US" w:eastAsia="zh-CN"/>
        </w:rPr>
        <w:t>追回违规发放资金并将企业列入失信名单。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5.诚信经营，保证商品质量和服务质量，杜绝假冒伪劣、以次充好、以旧充新的产品进入市场流通。</w:t>
      </w:r>
      <w:r>
        <w:rPr>
          <w:rFonts w:hint="eastAsia" w:ascii="仿宋_GB2312" w:hAnsi="仿宋_GB2312" w:eastAsia="仿宋_GB2312" w:cs="仿宋_GB2312"/>
          <w:sz w:val="32"/>
          <w:szCs w:val="32"/>
        </w:rPr>
        <w:t>主动制止任何方式套取财政资金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违反活动规则、恶意骗取优惠的行为。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rPr>
        <w:t>按要求布放活动</w:t>
      </w:r>
      <w:r>
        <w:rPr>
          <w:rFonts w:hint="eastAsia" w:ascii="仿宋_GB2312" w:hAnsi="仿宋_GB2312" w:eastAsia="仿宋_GB2312" w:cs="仿宋_GB2312"/>
          <w:sz w:val="32"/>
          <w:szCs w:val="32"/>
          <w:lang w:val="en-US" w:eastAsia="zh-CN"/>
        </w:rPr>
        <w:t>宣传物料</w:t>
      </w:r>
      <w:r>
        <w:rPr>
          <w:rFonts w:hint="eastAsia" w:ascii="仿宋_GB2312" w:hAnsi="仿宋_GB2312" w:eastAsia="仿宋_GB2312" w:cs="仿宋_GB2312"/>
          <w:sz w:val="32"/>
          <w:szCs w:val="32"/>
        </w:rPr>
        <w:t>,须提供不少于1种宣传物料支持，如海报、收银台台卡等。</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有权在自有宣传渠道免费使用商户商标、标志、标识和店铺图片等用于本次活动宣传，自有宣传渠道不限于短信、微信、官网等。</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保证所提供的图片未侵犯他人的任何权利。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7.承诺规范使用补贴资金，保留相应的核销凭证资料，形成台账，并及时将相关材料（家电：</w:t>
      </w:r>
      <w:r>
        <w:rPr>
          <w:rFonts w:hint="eastAsia" w:ascii="仿宋_GB2312" w:hAnsi="仿宋_GB2312" w:eastAsia="仿宋_GB2312" w:cs="仿宋_GB2312"/>
          <w:sz w:val="32"/>
          <w:szCs w:val="32"/>
          <w:lang w:val="en-US" w:eastAsia="zh-CN"/>
        </w:rPr>
        <w:t>签购单、发票图片、外部订单号、交易日期、交易发票、购买数量、发票金额、税额、商品类型、进销台账、收货地址、</w:t>
      </w:r>
      <w:r>
        <w:rPr>
          <w:rFonts w:hint="eastAsia" w:ascii="仿宋_GB2312" w:hAnsi="仿宋_GB2312" w:eastAsia="仿宋_GB2312" w:cs="仿宋_GB2312"/>
          <w:sz w:val="32"/>
          <w:szCs w:val="32"/>
          <w:highlight w:val="none"/>
          <w:lang w:val="en-US" w:eastAsia="zh-CN"/>
        </w:rPr>
        <w:t>送货安装单（须有消费者签字确认）</w:t>
      </w:r>
      <w:r>
        <w:rPr>
          <w:rFonts w:hint="eastAsia" w:ascii="仿宋_GB2312" w:hAnsi="仿宋_GB2312" w:eastAsia="仿宋_GB2312" w:cs="仿宋_GB2312"/>
          <w:sz w:val="32"/>
          <w:szCs w:val="32"/>
          <w:lang w:val="en-US" w:eastAsia="zh-CN"/>
        </w:rPr>
        <w:t>等。3C：“外包装+商品SN号照片”和“其他激活照片”、</w:t>
      </w:r>
      <w:r>
        <w:rPr>
          <w:rFonts w:hint="eastAsia" w:ascii="仿宋_GB2312" w:hAnsi="仿宋_GB2312" w:eastAsia="仿宋_GB2312" w:cs="仿宋_GB2312"/>
          <w:sz w:val="32"/>
          <w:szCs w:val="32"/>
          <w:highlight w:val="none"/>
          <w:lang w:val="en-US" w:eastAsia="zh-CN"/>
        </w:rPr>
        <w:t>消费补贴确认单、身份证照片、S</w:t>
      </w:r>
      <w:r>
        <w:rPr>
          <w:rFonts w:hint="eastAsia" w:ascii="仿宋_GB2312" w:hAnsi="仿宋_GB2312" w:eastAsia="仿宋_GB2312" w:cs="仿宋_GB2312"/>
          <w:sz w:val="32"/>
          <w:szCs w:val="32"/>
          <w:lang w:val="en-US" w:eastAsia="zh-CN"/>
        </w:rPr>
        <w:t>N码、IMEI1、IMEI2、交易发票、交易日期、购买数量、发票金额、税额、商品类型、进销台账、签购单、收货地址等</w:t>
      </w:r>
      <w:r>
        <w:rPr>
          <w:rFonts w:hint="eastAsia" w:ascii="仿宋_GB2312" w:hAnsi="仿宋_GB2312" w:eastAsia="仿宋_GB2312" w:cs="仿宋_GB2312"/>
          <w:kern w:val="2"/>
          <w:sz w:val="32"/>
          <w:szCs w:val="32"/>
          <w:lang w:val="en-US" w:eastAsia="zh-CN" w:bidi="ar-SA"/>
        </w:rPr>
        <w:t>）上传审计平台，在第三方审计时配合提供其他必要的审计材料。做好清算工作，按规定退回不符合条件的补贴资金。</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default" w:eastAsia="仿宋_GB2312"/>
          <w:highlight w:val="none"/>
          <w:lang w:val="en-US" w:eastAsia="zh-CN"/>
        </w:rPr>
      </w:pPr>
      <w:r>
        <w:rPr>
          <w:rFonts w:hint="eastAsia" w:ascii="仿宋_GB2312" w:hAnsi="仿宋_GB2312" w:eastAsia="仿宋_GB2312" w:cs="仿宋_GB2312"/>
          <w:sz w:val="32"/>
          <w:szCs w:val="32"/>
          <w:highlight w:val="none"/>
          <w:lang w:val="en-US" w:eastAsia="zh-CN"/>
        </w:rPr>
        <w:t xml:space="preserve">    8.发票开具必须规范：购买方信息中名称必须是申请补贴消费者姓名；统一社会信用代码/纳税人识别号必须是申请补贴消费者身份证号，项目名称必须是和POS小票一致的商品名称；规格型号、数量、单位必须填写齐全；备注栏必须填写以下内容：家电产品必须填写购买方地址、电话、条形码、产品类型、能效等级、客户自付金额、商务局补贴金额；手机、智能手环、平板、电脑必须填写SN码产品类型、购买时间、客户自付金额、商务局补贴金额，每张发票只能开与POS小票匹配的一件商品，同一客户同时购买多件商品，必须分开开票。</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9.账务必须建全，购进货物必须及时足额取得进货发票，保证进、销、存一致性，同时保证财务报表、纳税申报表和申报补贴数据一致、真实可查。</w:t>
      </w:r>
    </w:p>
    <w:p>
      <w:pPr>
        <w:pStyle w:val="2"/>
        <w:keepNext w:val="0"/>
        <w:keepLines w:val="0"/>
        <w:pageBreakBefore w:val="0"/>
        <w:kinsoku/>
        <w:overflowPunct/>
        <w:topLinePunct w:val="0"/>
        <w:autoSpaceDE/>
        <w:autoSpaceDN/>
        <w:bidi w:val="0"/>
        <w:spacing w:line="560" w:lineRule="exact"/>
        <w:ind w:left="0" w:leftChars="0" w:firstLine="0" w:firstLineChars="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 xml:space="preserve">    10.核销凭证资料须同时留存纸质档案，纸质档案要求清晰完整，随时可查。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11.自愿参与并有一定的垫资能力，愿意先行垫付政府补贴资金</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主动制止任何方式套取补贴资金的违反活动规则、恶意骗取优惠的行为。承诺全力配合主办方及服务平台相关套利防控措施，确保消费者本人领取和使用，预防并制止“黄牛”等恶意套利行为，对于疑似“黄牛”等企图套利人员采取警告、劝退、报警等及时有效的防控措施。后续要配合主办方对疑似“黄牛”等套现行为给予积极配合调查，一经查实确有“黄牛”等恶意套利行为的，一律由参与活动的市场主体方承担违约责任，并且向主办方先行退还多补的政府补贴资金，并保留向违规商家追索赔偿权利。上述行为一经发现，主办方可立刻取消企业活动参与资格，向企业追回违规发放资金并将企业列入失信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主办</w:t>
      </w:r>
      <w:r>
        <w:rPr>
          <w:rFonts w:hint="eastAsia" w:ascii="仿宋_GB2312" w:hAnsi="仿宋_GB2312" w:eastAsia="仿宋_GB2312" w:cs="仿宋_GB2312"/>
          <w:sz w:val="32"/>
          <w:szCs w:val="32"/>
          <w:lang w:val="en-US" w:eastAsia="zh-CN"/>
        </w:rPr>
        <w:t>方有权</w:t>
      </w:r>
      <w:r>
        <w:rPr>
          <w:rFonts w:hint="eastAsia" w:ascii="仿宋_GB2312" w:hAnsi="仿宋_GB2312" w:eastAsia="仿宋_GB2312" w:cs="仿宋_GB2312"/>
          <w:sz w:val="32"/>
          <w:szCs w:val="32"/>
        </w:rPr>
        <w:t>通过后台技术手段监测营销活动实施，如发现商</w:t>
      </w:r>
      <w:r>
        <w:rPr>
          <w:rFonts w:hint="eastAsia" w:ascii="仿宋_GB2312" w:hAnsi="仿宋_GB2312" w:eastAsia="仿宋_GB2312" w:cs="仿宋_GB2312"/>
          <w:sz w:val="32"/>
          <w:szCs w:val="32"/>
          <w:lang w:val="en-US" w:eastAsia="zh-CN"/>
        </w:rPr>
        <w:t>家存在</w:t>
      </w:r>
      <w:r>
        <w:rPr>
          <w:rFonts w:hint="eastAsia" w:ascii="仿宋_GB2312" w:hAnsi="仿宋_GB2312" w:eastAsia="仿宋_GB2312" w:cs="仿宋_GB2312"/>
          <w:kern w:val="2"/>
          <w:sz w:val="32"/>
          <w:szCs w:val="32"/>
          <w:lang w:val="en-US" w:eastAsia="zh-CN" w:bidi="ar-SA"/>
        </w:rPr>
        <w:t>作弊舞弊、利用不正</w:t>
      </w:r>
      <w:r>
        <w:rPr>
          <w:rFonts w:hint="eastAsia" w:ascii="仿宋_GB2312" w:hAnsi="仿宋_GB2312" w:eastAsia="仿宋_GB2312" w:cs="仿宋_GB2312"/>
          <w:sz w:val="32"/>
          <w:szCs w:val="32"/>
        </w:rPr>
        <w:t>当手段（包括但不限于刷单、套现、提供虚假证件或发票、虚假交易</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非面对面扫码交易</w:t>
      </w:r>
      <w:r>
        <w:rPr>
          <w:rFonts w:hint="eastAsia" w:ascii="仿宋_GB2312" w:hAnsi="仿宋_GB2312" w:eastAsia="仿宋_GB2312" w:cs="仿宋_GB2312"/>
          <w:sz w:val="32"/>
          <w:szCs w:val="32"/>
        </w:rPr>
        <w:t>等）骗取套取补贴资金等违法违规行为，</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立即收回已发全部补贴资金，并取消企业和补贴对象参与后续活动的资格。具体判定依据和结果以</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认定为准。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outlineLvl w:val="1"/>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提供的服务及产品问题引发的用户投诉、处理和争议等，应</w:t>
      </w:r>
      <w:r>
        <w:rPr>
          <w:rFonts w:hint="eastAsia" w:ascii="仿宋_GB2312" w:hAnsi="仿宋_GB2312" w:eastAsia="仿宋_GB2312" w:cs="仿宋_GB2312"/>
          <w:sz w:val="32"/>
          <w:szCs w:val="32"/>
          <w:lang w:val="en-US" w:eastAsia="zh-CN"/>
        </w:rPr>
        <w:t>由本单位自行</w:t>
      </w:r>
      <w:r>
        <w:rPr>
          <w:rFonts w:hint="eastAsia" w:ascii="仿宋_GB2312" w:hAnsi="仿宋_GB2312" w:eastAsia="仿宋_GB2312" w:cs="仿宋_GB2312"/>
          <w:sz w:val="32"/>
          <w:szCs w:val="32"/>
        </w:rPr>
        <w:t>负责解决，</w:t>
      </w:r>
      <w:r>
        <w:rPr>
          <w:rFonts w:hint="eastAsia" w:ascii="仿宋_GB2312" w:hAnsi="仿宋_GB2312" w:eastAsia="仿宋_GB2312" w:cs="仿宋_GB2312"/>
          <w:sz w:val="32"/>
          <w:szCs w:val="32"/>
          <w:lang w:val="en-US" w:eastAsia="zh-CN"/>
        </w:rPr>
        <w:t>主办方</w:t>
      </w:r>
      <w:r>
        <w:rPr>
          <w:rFonts w:hint="eastAsia" w:ascii="仿宋_GB2312" w:hAnsi="仿宋_GB2312" w:eastAsia="仿宋_GB2312" w:cs="仿宋_GB2312"/>
          <w:sz w:val="32"/>
          <w:szCs w:val="32"/>
        </w:rPr>
        <w:t>不承担任何责任。</w:t>
      </w: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eastAsia" w:ascii="仿宋_GB2312" w:eastAsia="仿宋_GB2312"/>
          <w:sz w:val="32"/>
          <w:szCs w:val="32"/>
          <w:lang w:eastAsia="zh-CN"/>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eastAsia" w:ascii="仿宋_GB2312" w:eastAsia="仿宋_GB2312"/>
          <w:sz w:val="32"/>
          <w:szCs w:val="32"/>
          <w:lang w:eastAsia="zh-CN"/>
        </w:rPr>
      </w:pPr>
    </w:p>
    <w:p>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560" w:lineRule="exact"/>
        <w:ind w:right="960"/>
        <w:jc w:val="center"/>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负责人（签字）：</w:t>
      </w:r>
      <w:r>
        <w:rPr>
          <w:rFonts w:hint="eastAsia" w:ascii="仿宋_GB2312" w:eastAsia="仿宋_GB2312"/>
          <w:sz w:val="32"/>
          <w:szCs w:val="32"/>
          <w:lang w:val="en-US" w:eastAsia="zh-CN"/>
        </w:rPr>
        <w:t xml:space="preserve">           </w:t>
      </w:r>
      <w:r>
        <w:rPr>
          <w:rFonts w:hint="eastAsia" w:ascii="仿宋_GB2312" w:eastAsia="仿宋_GB2312"/>
          <w:sz w:val="32"/>
          <w:szCs w:val="32"/>
        </w:rPr>
        <w:t>单位名称（盖章）：</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outlineLvl w:val="1"/>
      </w:pPr>
      <w:r>
        <w:rPr>
          <w:rFonts w:hint="eastAsia" w:ascii="仿宋_GB2312" w:eastAsia="仿宋_GB2312"/>
          <w:sz w:val="32"/>
          <w:szCs w:val="32"/>
          <w:lang w:val="en-US" w:eastAsia="zh-CN"/>
        </w:rPr>
        <w:t xml:space="preserve">                        </w:t>
      </w: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ascii="仿宋_GB2312" w:eastAsia="仿宋_GB2312"/>
          <w:sz w:val="32"/>
          <w:szCs w:val="32"/>
        </w:rPr>
        <w:t>月</w:t>
      </w:r>
      <w:r>
        <w:rPr>
          <w:rFonts w:hint="eastAsia" w:ascii="仿宋_GB2312" w:eastAsia="仿宋_GB2312"/>
          <w:sz w:val="32"/>
          <w:szCs w:val="32"/>
          <w:lang w:val="en-US" w:eastAsia="zh-CN"/>
        </w:rPr>
        <w:t xml:space="preserve">  </w:t>
      </w:r>
      <w:r>
        <w:rPr>
          <w:rFonts w:ascii="仿宋_GB2312" w:eastAsia="仿宋_GB2312"/>
          <w:sz w:val="32"/>
          <w:szCs w:val="32"/>
        </w:rPr>
        <w:t>日</w:t>
      </w:r>
      <w:r>
        <w:rPr>
          <w:rFonts w:hint="eastAsia" w:ascii="仿宋_GB2312" w:eastAsia="仿宋_GB2312"/>
          <w:sz w:val="32"/>
          <w:szCs w:val="32"/>
          <w:lang w:val="en-US" w:eastAsia="zh-CN"/>
        </w:rPr>
        <w:t xml:space="preserve">   </w:t>
      </w:r>
    </w:p>
    <w:p>
      <w:pPr>
        <w:keepNext w:val="0"/>
        <w:keepLines w:val="0"/>
        <w:pageBreakBefore w:val="0"/>
        <w:kinsoku/>
        <w:overflowPunct/>
        <w:topLinePunct w:val="0"/>
        <w:autoSpaceDE/>
        <w:autoSpaceDN/>
        <w:bidi w:val="0"/>
        <w:spacing w:line="560" w:lineRule="exact"/>
        <w:textAlignment w:val="auto"/>
      </w:pPr>
    </w:p>
    <w:p>
      <w:pPr>
        <w:keepNext w:val="0"/>
        <w:keepLines w:val="0"/>
        <w:pageBreakBefore w:val="0"/>
        <w:kinsoku/>
        <w:overflowPunct/>
        <w:topLinePunct w:val="0"/>
        <w:autoSpaceDE/>
        <w:autoSpaceDN/>
        <w:bidi w:val="0"/>
        <w:spacing w:line="56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55F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firstLineChars="200"/>
      <w:jc w:val="left"/>
    </w:pPr>
    <w:rPr>
      <w:rFonts w:ascii="Calibri" w:hAnsi="Calibri"/>
      <w:kern w:val="0"/>
      <w:sz w:val="24"/>
      <w:lang w:eastAsia="en-US" w:bidi="en-US"/>
    </w:rPr>
  </w:style>
  <w:style w:type="paragraph" w:styleId="3">
    <w:name w:val="Body Text Indent"/>
    <w:basedOn w:val="1"/>
    <w:next w:val="4"/>
    <w:qFormat/>
    <w:uiPriority w:val="0"/>
    <w:pPr>
      <w:ind w:left="420" w:leftChars="200"/>
    </w:pPr>
    <w:rPr>
      <w:rFonts w:ascii="Calibri" w:hAnsi="Calibri" w:eastAsia="宋体" w:cs="Times New Roman"/>
      <w:sz w:val="32"/>
      <w:szCs w:val="32"/>
    </w:rPr>
  </w:style>
  <w:style w:type="paragraph" w:styleId="4">
    <w:name w:val="Normal Indent"/>
    <w:basedOn w:val="1"/>
    <w:next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2026-03-17T09:25:22Z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