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  <w:lang w:eastAsia="zh-CN"/>
        </w:rPr>
      </w:pPr>
      <w:r>
        <w:rPr>
          <w:rFonts w:hint="eastAsia"/>
          <w:b/>
          <w:sz w:val="44"/>
          <w:szCs w:val="44"/>
          <w:lang w:eastAsia="zh-CN"/>
        </w:rPr>
        <w:t>关于红星美凯龙园区招商引资及启动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  <w:lang w:eastAsia="zh-CN"/>
        </w:rPr>
        <w:t>的建议</w:t>
      </w:r>
      <w:r>
        <w:rPr>
          <w:rFonts w:hint="eastAsia"/>
          <w:b/>
          <w:sz w:val="44"/>
          <w:szCs w:val="44"/>
        </w:rPr>
        <w:t>提案的回复</w:t>
      </w:r>
    </w:p>
    <w:p>
      <w:pPr>
        <w:rPr>
          <w:b/>
          <w:sz w:val="44"/>
          <w:szCs w:val="44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段润萍</w:t>
      </w:r>
      <w:r>
        <w:rPr>
          <w:rFonts w:hint="eastAsia" w:ascii="仿宋" w:hAnsi="仿宋" w:eastAsia="仿宋"/>
          <w:sz w:val="32"/>
          <w:szCs w:val="32"/>
        </w:rPr>
        <w:t>委员：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您提出的“</w:t>
      </w:r>
      <w:r>
        <w:rPr>
          <w:rFonts w:hint="eastAsia" w:ascii="仿宋" w:hAnsi="仿宋" w:eastAsia="仿宋"/>
          <w:sz w:val="32"/>
          <w:szCs w:val="32"/>
          <w:lang w:eastAsia="zh-CN"/>
        </w:rPr>
        <w:t>关于红星美凯龙园区招商引资及启动的建议</w:t>
      </w:r>
      <w:r>
        <w:rPr>
          <w:rFonts w:hint="eastAsia" w:ascii="仿宋" w:hAnsi="仿宋" w:eastAsia="仿宋"/>
          <w:sz w:val="32"/>
          <w:szCs w:val="32"/>
        </w:rPr>
        <w:t>”收悉，经我们认真阅读，认为建议合理。现就“</w:t>
      </w:r>
      <w:r>
        <w:rPr>
          <w:rFonts w:hint="eastAsia" w:ascii="仿宋" w:hAnsi="仿宋" w:eastAsia="仿宋"/>
          <w:sz w:val="32"/>
          <w:szCs w:val="32"/>
          <w:lang w:eastAsia="zh-CN"/>
        </w:rPr>
        <w:t>关于红星美凯龙园区招商引资及启动的建议</w:t>
      </w:r>
      <w:r>
        <w:rPr>
          <w:rFonts w:hint="eastAsia" w:ascii="仿宋" w:hAnsi="仿宋" w:eastAsia="仿宋"/>
          <w:sz w:val="32"/>
          <w:szCs w:val="32"/>
        </w:rPr>
        <w:t>”方面问题，回复如下：</w:t>
      </w:r>
    </w:p>
    <w:p>
      <w:pPr>
        <w:pStyle w:val="4"/>
        <w:numPr>
          <w:ilvl w:val="0"/>
          <w:numId w:val="1"/>
        </w:numPr>
        <w:spacing w:before="0" w:beforeAutospacing="0" w:after="0" w:afterAutospacing="0"/>
        <w:ind w:firstLine="480"/>
        <w:jc w:val="both"/>
        <w:rPr>
          <w:rFonts w:hint="eastAsia" w:ascii="黑体" w:hAnsi="黑体" w:eastAsia="黑体" w:cs="黑体"/>
          <w:b w:val="0"/>
          <w:bCs/>
          <w:color w:val="262626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262626"/>
          <w:sz w:val="32"/>
          <w:szCs w:val="32"/>
          <w:lang w:eastAsia="zh-CN"/>
        </w:rPr>
        <w:t>基本情况</w:t>
      </w:r>
    </w:p>
    <w:p>
      <w:pPr>
        <w:pStyle w:val="4"/>
        <w:numPr>
          <w:ilvl w:val="0"/>
          <w:numId w:val="0"/>
        </w:numPr>
        <w:spacing w:before="0" w:beforeAutospacing="0" w:after="0" w:afterAutospacing="0"/>
        <w:jc w:val="both"/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/>
          <w:b/>
          <w:color w:val="262626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项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目位于巴彦淖尔市临河区新华大街、利民街、文明路与学院路交汇处，占地599亩，建筑用地358亩，总建筑面积约26万平方米，总投资30亿元。建设以红星· 美凯龙全球家居生活广场为主体的建材家居市场板块；共建设商业场馆5个，配建机动车停车位4200辆。该项目已于2012年10月10日正完工并交付使用。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1号馆-红星美凯龙全球家居生活广场，建筑面积</w:t>
      </w:r>
      <w:r>
        <w:rPr>
          <w:rFonts w:ascii="仿宋" w:hAnsi="仿宋" w:eastAsia="仿宋"/>
          <w:sz w:val="32"/>
          <w:szCs w:val="32"/>
        </w:rPr>
        <w:t>5.5</w:t>
      </w:r>
      <w:r>
        <w:rPr>
          <w:rFonts w:hint="eastAsia" w:ascii="仿宋" w:hAnsi="仿宋" w:eastAsia="仿宋"/>
          <w:sz w:val="32"/>
          <w:szCs w:val="32"/>
        </w:rPr>
        <w:t>万平方米，主营建材家居、陶瓷卫浴、窗帘布艺、灯具灯饰等（一类品牌），已于</w:t>
      </w:r>
      <w:r>
        <w:rPr>
          <w:rFonts w:ascii="仿宋" w:hAnsi="仿宋" w:eastAsia="仿宋"/>
          <w:sz w:val="32"/>
          <w:szCs w:val="32"/>
        </w:rPr>
        <w:t>2012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10</w:t>
      </w:r>
      <w:r>
        <w:rPr>
          <w:rFonts w:hint="eastAsia" w:ascii="仿宋" w:hAnsi="仿宋" w:eastAsia="仿宋"/>
          <w:sz w:val="32"/>
          <w:szCs w:val="32"/>
        </w:rPr>
        <w:t>月开业运营，目前进驻商户</w:t>
      </w:r>
      <w:r>
        <w:rPr>
          <w:rFonts w:ascii="仿宋" w:hAnsi="仿宋" w:eastAsia="仿宋"/>
          <w:sz w:val="32"/>
          <w:szCs w:val="32"/>
        </w:rPr>
        <w:t>200</w:t>
      </w:r>
      <w:r>
        <w:rPr>
          <w:rFonts w:hint="eastAsia" w:ascii="仿宋" w:hAnsi="仿宋" w:eastAsia="仿宋"/>
          <w:sz w:val="32"/>
          <w:szCs w:val="32"/>
        </w:rPr>
        <w:t>多户，引进国内外一线品牌</w:t>
      </w:r>
      <w:r>
        <w:rPr>
          <w:rFonts w:ascii="仿宋" w:hAnsi="仿宋" w:eastAsia="仿宋"/>
          <w:sz w:val="32"/>
          <w:szCs w:val="32"/>
        </w:rPr>
        <w:t>200</w:t>
      </w:r>
      <w:r>
        <w:rPr>
          <w:rFonts w:hint="eastAsia" w:ascii="仿宋" w:hAnsi="仿宋" w:eastAsia="仿宋"/>
          <w:sz w:val="32"/>
          <w:szCs w:val="32"/>
        </w:rPr>
        <w:t>多个，</w:t>
      </w:r>
      <w:r>
        <w:rPr>
          <w:rFonts w:hint="eastAsia" w:ascii="仿宋" w:hAnsi="仿宋" w:eastAsia="仿宋"/>
          <w:sz w:val="32"/>
          <w:szCs w:val="32"/>
          <w:lang w:eastAsia="zh-CN"/>
        </w:rPr>
        <w:t>全部运营</w:t>
      </w:r>
      <w:r>
        <w:rPr>
          <w:rFonts w:hint="eastAsia" w:ascii="仿宋" w:hAnsi="仿宋" w:eastAsia="仿宋"/>
          <w:sz w:val="32"/>
          <w:szCs w:val="32"/>
        </w:rPr>
        <w:t>；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号馆-晨泰建材家居广场，建筑面积</w:t>
      </w:r>
      <w:r>
        <w:rPr>
          <w:rFonts w:ascii="仿宋" w:hAnsi="仿宋" w:eastAsia="仿宋"/>
          <w:sz w:val="32"/>
          <w:szCs w:val="32"/>
        </w:rPr>
        <w:t>7.5</w:t>
      </w:r>
      <w:r>
        <w:rPr>
          <w:rFonts w:hint="eastAsia" w:ascii="仿宋" w:hAnsi="仿宋" w:eastAsia="仿宋"/>
          <w:sz w:val="32"/>
          <w:szCs w:val="32"/>
        </w:rPr>
        <w:t>万平方米，主营建材家居、陶瓷卫浴、窗帘布艺、灯具灯饰等（二类品牌），于</w:t>
      </w:r>
      <w:r>
        <w:rPr>
          <w:rFonts w:ascii="仿宋" w:hAnsi="仿宋" w:eastAsia="仿宋"/>
          <w:sz w:val="32"/>
          <w:szCs w:val="32"/>
        </w:rPr>
        <w:t>2013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6</w:t>
      </w:r>
      <w:r>
        <w:rPr>
          <w:rFonts w:hint="eastAsia" w:ascii="仿宋" w:hAnsi="仿宋" w:eastAsia="仿宋"/>
          <w:sz w:val="32"/>
          <w:szCs w:val="32"/>
        </w:rPr>
        <w:t>月份开业运营，目前进驻商户近150户，占商场营业面积60%，空余营业面积约2万平</w:t>
      </w:r>
      <w:r>
        <w:rPr>
          <w:rFonts w:hint="eastAsia" w:ascii="仿宋" w:hAnsi="仿宋" w:eastAsia="仿宋"/>
          <w:sz w:val="32"/>
          <w:szCs w:val="32"/>
          <w:lang w:eastAsia="zh-CN"/>
        </w:rPr>
        <w:t>未投入使用。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3、4、5号馆目前招租困难，全部未投入使用。</w:t>
      </w:r>
    </w:p>
    <w:p>
      <w:pPr>
        <w:pStyle w:val="4"/>
        <w:numPr>
          <w:ilvl w:val="0"/>
          <w:numId w:val="1"/>
        </w:numPr>
        <w:spacing w:before="0" w:beforeAutospacing="0" w:after="0" w:afterAutospacing="0"/>
        <w:ind w:left="0" w:leftChars="0" w:firstLine="480" w:firstLineChars="0"/>
        <w:jc w:val="both"/>
        <w:rPr>
          <w:rFonts w:hint="eastAsia" w:ascii="黑体" w:hAnsi="黑体" w:eastAsia="黑体" w:cs="黑体"/>
          <w:b w:val="0"/>
          <w:bCs/>
          <w:color w:val="26262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262626"/>
          <w:sz w:val="32"/>
          <w:szCs w:val="32"/>
          <w:lang w:val="en-US" w:eastAsia="zh-CN"/>
        </w:rPr>
        <w:t>存在的问题和原因</w:t>
      </w:r>
    </w:p>
    <w:p>
      <w:pPr>
        <w:pStyle w:val="4"/>
        <w:numPr>
          <w:ilvl w:val="0"/>
          <w:numId w:val="0"/>
        </w:numPr>
        <w:spacing w:before="0" w:beforeAutospacing="0" w:after="0" w:afterAutospacing="0"/>
        <w:jc w:val="both"/>
        <w:rPr>
          <w:rFonts w:hint="default" w:ascii="仿宋_GB2312" w:hAnsi="Times New Roman" w:eastAsia="仿宋_GB2312" w:cs="Times New Roman"/>
          <w:color w:val="000000"/>
          <w:kern w:val="2"/>
          <w:sz w:val="32"/>
          <w:szCs w:val="32"/>
          <w:u w:val="none" w:color="auto"/>
          <w:lang w:val="en" w:eastAsia="zh-CN" w:bidi="ar-SA"/>
        </w:rPr>
      </w:pP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u w:val="none" w:color="auto"/>
          <w:lang w:val="en-US" w:eastAsia="zh-CN" w:bidi="ar-SA"/>
        </w:rPr>
        <w:t xml:space="preserve">   </w:t>
      </w:r>
      <w:r>
        <w:rPr>
          <w:rFonts w:hint="default" w:ascii="仿宋_GB2312" w:hAnsi="Times New Roman" w:eastAsia="仿宋_GB2312" w:cs="Times New Roman"/>
          <w:color w:val="000000"/>
          <w:kern w:val="2"/>
          <w:sz w:val="32"/>
          <w:szCs w:val="32"/>
          <w:u w:val="none" w:color="auto"/>
          <w:lang w:val="en" w:eastAsia="zh-CN" w:bidi="ar-SA"/>
        </w:rPr>
        <w:t>一是受疫情影响，</w:t>
      </w: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u w:val="none" w:color="auto"/>
          <w:lang w:val="en" w:eastAsia="zh-CN" w:bidi="ar-SA"/>
        </w:rPr>
        <w:t>在全国经济下行的大环境下</w:t>
      </w:r>
      <w:r>
        <w:rPr>
          <w:rFonts w:hint="default" w:ascii="仿宋_GB2312" w:hAnsi="Times New Roman" w:eastAsia="仿宋_GB2312" w:cs="Times New Roman"/>
          <w:color w:val="000000"/>
          <w:kern w:val="2"/>
          <w:sz w:val="32"/>
          <w:szCs w:val="32"/>
          <w:u w:val="none" w:color="auto"/>
          <w:lang w:val="en" w:eastAsia="zh-CN" w:bidi="ar-SA"/>
        </w:rPr>
        <w:t>，</w:t>
      </w: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u w:val="none" w:color="auto"/>
          <w:lang w:val="en" w:eastAsia="zh-CN" w:bidi="ar-SA"/>
        </w:rPr>
        <w:t>消费市场疲软，</w:t>
      </w:r>
      <w:r>
        <w:rPr>
          <w:rFonts w:hint="default" w:ascii="仿宋_GB2312" w:hAnsi="Times New Roman" w:eastAsia="仿宋_GB2312" w:cs="Times New Roman"/>
          <w:color w:val="000000"/>
          <w:kern w:val="2"/>
          <w:sz w:val="32"/>
          <w:szCs w:val="32"/>
          <w:u w:val="none" w:color="auto"/>
          <w:lang w:val="en" w:eastAsia="zh-CN" w:bidi="ar-SA"/>
        </w:rPr>
        <w:t>消费需求减弱。</w:t>
      </w:r>
    </w:p>
    <w:p>
      <w:pPr>
        <w:pStyle w:val="4"/>
        <w:numPr>
          <w:ilvl w:val="0"/>
          <w:numId w:val="0"/>
        </w:numPr>
        <w:spacing w:before="0" w:beforeAutospacing="0" w:after="0" w:afterAutospacing="0"/>
        <w:jc w:val="both"/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u w:val="none" w:color="auto"/>
          <w:lang w:val="en" w:eastAsia="zh-CN" w:bidi="ar-SA"/>
        </w:rPr>
      </w:pP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u w:val="none" w:color="auto"/>
          <w:lang w:val="en-US" w:eastAsia="zh-CN" w:bidi="ar-SA"/>
        </w:rPr>
        <w:t xml:space="preserve">   </w:t>
      </w:r>
      <w:r>
        <w:rPr>
          <w:rFonts w:hint="default" w:ascii="仿宋_GB2312" w:hAnsi="Times New Roman" w:eastAsia="仿宋_GB2312" w:cs="Times New Roman"/>
          <w:color w:val="000000"/>
          <w:kern w:val="2"/>
          <w:sz w:val="32"/>
          <w:szCs w:val="32"/>
          <w:u w:val="none" w:color="auto"/>
          <w:lang w:val="en" w:eastAsia="zh-CN" w:bidi="ar-SA"/>
        </w:rPr>
        <w:t>二是</w:t>
      </w: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u w:val="none" w:color="auto"/>
          <w:lang w:val="en" w:eastAsia="zh-CN" w:bidi="ar-SA"/>
        </w:rPr>
        <w:t>我市人口逐年减少，网络消费旺盛导致消费外溢等因素，实体企业受到到冲击。</w:t>
      </w:r>
    </w:p>
    <w:p>
      <w:pPr>
        <w:pStyle w:val="4"/>
        <w:numPr>
          <w:ilvl w:val="0"/>
          <w:numId w:val="0"/>
        </w:numPr>
        <w:spacing w:before="0" w:beforeAutospacing="0" w:after="0" w:afterAutospacing="0"/>
        <w:ind w:left="480" w:leftChars="0"/>
        <w:jc w:val="both"/>
        <w:rPr>
          <w:rFonts w:hint="default" w:ascii="仿宋_GB2312" w:hAnsi="Times New Roman" w:eastAsia="仿宋_GB2312" w:cs="Times New Roman"/>
          <w:color w:val="000000"/>
          <w:kern w:val="2"/>
          <w:sz w:val="32"/>
          <w:szCs w:val="32"/>
          <w:u w:val="none" w:color="auto"/>
          <w:lang w:val="en" w:eastAsia="zh-CN" w:bidi="ar-SA"/>
        </w:rPr>
      </w:pP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u w:val="none" w:color="auto"/>
          <w:lang w:val="en" w:eastAsia="zh-CN" w:bidi="ar-SA"/>
        </w:rPr>
        <w:t>三是各地疫情反复，</w:t>
      </w:r>
      <w:r>
        <w:rPr>
          <w:rFonts w:hint="default" w:ascii="仿宋_GB2312" w:hAnsi="Times New Roman" w:eastAsia="仿宋_GB2312" w:cs="Times New Roman"/>
          <w:color w:val="000000"/>
          <w:kern w:val="2"/>
          <w:sz w:val="32"/>
          <w:szCs w:val="32"/>
          <w:u w:val="none" w:color="auto"/>
          <w:lang w:val="en" w:eastAsia="zh-CN" w:bidi="ar-SA"/>
        </w:rPr>
        <w:t>举办</w:t>
      </w: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u w:val="none" w:color="auto"/>
          <w:lang w:val="en" w:eastAsia="zh-CN" w:bidi="ar-SA"/>
        </w:rPr>
        <w:t>各类促消费</w:t>
      </w:r>
      <w:r>
        <w:rPr>
          <w:rFonts w:hint="default" w:ascii="仿宋_GB2312" w:hAnsi="Times New Roman" w:eastAsia="仿宋_GB2312" w:cs="Times New Roman"/>
          <w:color w:val="000000"/>
          <w:kern w:val="2"/>
          <w:sz w:val="32"/>
          <w:szCs w:val="32"/>
          <w:u w:val="none" w:color="auto"/>
          <w:lang w:val="en" w:eastAsia="zh-CN" w:bidi="ar-SA"/>
        </w:rPr>
        <w:t>活动</w:t>
      </w: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u w:val="none" w:color="auto"/>
          <w:lang w:val="en" w:eastAsia="zh-CN" w:bidi="ar-SA"/>
        </w:rPr>
        <w:t>得到</w:t>
      </w:r>
      <w:r>
        <w:rPr>
          <w:rFonts w:hint="default" w:ascii="仿宋_GB2312" w:hAnsi="Times New Roman" w:eastAsia="仿宋_GB2312" w:cs="Times New Roman"/>
          <w:color w:val="000000"/>
          <w:kern w:val="2"/>
          <w:sz w:val="32"/>
          <w:szCs w:val="32"/>
          <w:u w:val="none" w:color="auto"/>
          <w:lang w:val="en" w:eastAsia="zh-CN" w:bidi="ar-SA"/>
        </w:rPr>
        <w:t>许可</w:t>
      </w: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u w:val="none" w:color="auto"/>
          <w:lang w:val="en" w:eastAsia="zh-CN" w:bidi="ar-SA"/>
        </w:rPr>
        <w:t>困难</w:t>
      </w:r>
      <w:r>
        <w:rPr>
          <w:rFonts w:hint="default" w:ascii="仿宋_GB2312" w:hAnsi="Times New Roman" w:eastAsia="仿宋_GB2312" w:cs="Times New Roman"/>
          <w:color w:val="000000"/>
          <w:kern w:val="2"/>
          <w:sz w:val="32"/>
          <w:szCs w:val="32"/>
          <w:u w:val="none" w:color="auto"/>
          <w:lang w:val="en" w:eastAsia="zh-CN" w:bidi="ar-SA"/>
        </w:rPr>
        <w:t>。</w:t>
      </w:r>
    </w:p>
    <w:p>
      <w:pPr>
        <w:pStyle w:val="4"/>
        <w:numPr>
          <w:ilvl w:val="0"/>
          <w:numId w:val="0"/>
        </w:numPr>
        <w:spacing w:before="0" w:beforeAutospacing="0" w:after="0" w:afterAutospacing="0"/>
        <w:ind w:left="480" w:leftChars="0"/>
        <w:jc w:val="both"/>
        <w:rPr>
          <w:rFonts w:hint="eastAsia" w:ascii="黑体" w:hAnsi="黑体" w:eastAsia="黑体" w:cs="黑体"/>
          <w:b w:val="0"/>
          <w:bCs/>
          <w:color w:val="262626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262626"/>
          <w:sz w:val="32"/>
          <w:szCs w:val="32"/>
          <w:lang w:val="en-US" w:eastAsia="zh-CN"/>
        </w:rPr>
        <w:t>三、多措并举支持红星美凯龙启动运营</w:t>
      </w:r>
    </w:p>
    <w:p>
      <w:pPr>
        <w:rPr>
          <w:rFonts w:hint="eastAsia" w:ascii="楷体" w:hAnsi="楷体" w:eastAsia="楷体" w:cs="楷体"/>
          <w:b/>
          <w:bCs/>
          <w:color w:val="000000"/>
          <w:sz w:val="32"/>
          <w:szCs w:val="32"/>
          <w:u w:val="none" w:color="auto"/>
          <w:lang w:val="en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u w:val="none" w:color="auto"/>
          <w:lang w:val="en-US" w:eastAsia="zh-CN"/>
        </w:rPr>
        <w:t>（一）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u w:val="none" w:color="auto"/>
          <w:lang w:val="en" w:eastAsia="zh-CN"/>
        </w:rPr>
        <w:t>出台奖励政策，助企纾困</w:t>
      </w:r>
    </w:p>
    <w:p>
      <w:pPr>
        <w:rPr>
          <w:rFonts w:hint="eastAsia" w:ascii="仿宋_GB2312" w:hAnsi="Times New Roman" w:eastAsia="仿宋_GB2312" w:cs="Times New Roman"/>
          <w:color w:val="000000"/>
          <w:sz w:val="32"/>
          <w:szCs w:val="32"/>
          <w:u w:val="none" w:color="auto"/>
          <w:lang w:val="en-US" w:eastAsia="zh-CN"/>
        </w:rPr>
      </w:pPr>
      <w:r>
        <w:rPr>
          <w:rFonts w:hint="default" w:ascii="仿宋_GB2312" w:eastAsia="仿宋_GB2312" w:cs="Times New Roman"/>
          <w:b/>
          <w:bCs/>
          <w:color w:val="000000"/>
          <w:sz w:val="32"/>
          <w:szCs w:val="32"/>
          <w:u w:val="none" w:color="auto"/>
          <w:lang w:val="en" w:eastAsia="zh-CN"/>
        </w:rPr>
        <w:t xml:space="preserve">    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u w:val="none" w:color="auto"/>
          <w:lang w:val="en-US" w:eastAsia="zh-CN"/>
        </w:rPr>
        <w:t>在全市2022年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u w:val="none" w:color="auto"/>
          <w:lang w:val="en" w:eastAsia="zh-CN"/>
        </w:rPr>
        <w:t>“稳中求进”高质量发展政策清单中，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我局积极贯彻落实国家、自治区稳经济大盘一揽子政策措施，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u w:val="none" w:color="auto"/>
          <w:lang w:val="en" w:eastAsia="zh-CN"/>
        </w:rPr>
        <w:t>提出了</w:t>
      </w:r>
      <w:r>
        <w:rPr>
          <w:rFonts w:hint="eastAsia" w:ascii="仿宋_GB2312" w:eastAsia="仿宋_GB2312" w:cs="Times New Roman"/>
          <w:color w:val="000000"/>
          <w:sz w:val="32"/>
          <w:szCs w:val="32"/>
          <w:u w:val="none" w:color="auto"/>
          <w:lang w:val="en" w:eastAsia="zh-CN"/>
        </w:rPr>
        <w:t>发放消费券、支持举办全市大型促消费活动</w:t>
      </w:r>
      <w:r>
        <w:rPr>
          <w:rFonts w:hint="eastAsia" w:ascii="仿宋_GB2312" w:eastAsia="仿宋_GB2312" w:cs="Times New Roman"/>
          <w:color w:val="000000"/>
          <w:sz w:val="32"/>
          <w:szCs w:val="32"/>
          <w:u w:val="none" w:color="auto"/>
          <w:lang w:val="en-US" w:eastAsia="zh-CN"/>
        </w:rPr>
        <w:t>17场、旗县区全年开展促消费活动不少于200场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u w:val="none" w:color="auto"/>
          <w:lang w:val="en-US" w:eastAsia="zh-CN"/>
        </w:rPr>
        <w:t>，</w:t>
      </w:r>
      <w:r>
        <w:rPr>
          <w:rFonts w:hint="eastAsia" w:ascii="仿宋_GB2312" w:eastAsia="仿宋_GB2312" w:cs="Times New Roman"/>
          <w:color w:val="000000"/>
          <w:sz w:val="32"/>
          <w:szCs w:val="32"/>
          <w:u w:val="none" w:color="auto"/>
          <w:lang w:val="en-US" w:eastAsia="zh-CN"/>
        </w:rPr>
        <w:t>鼓励企业上限入统等促消费奖励政策，</w:t>
      </w:r>
      <w:r>
        <w:rPr>
          <w:rFonts w:hint="eastAsia" w:ascii="仿宋_GB2312" w:eastAsia="仿宋_GB2312" w:cs="Times New Roman"/>
          <w:color w:val="000000"/>
          <w:sz w:val="32"/>
          <w:szCs w:val="32"/>
          <w:u w:val="none" w:color="auto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稳定增加汽车、家电等大宗消费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 w:cs="Times New Roman"/>
          <w:color w:val="000000"/>
          <w:sz w:val="32"/>
          <w:szCs w:val="32"/>
          <w:u w:val="none" w:color="auto"/>
          <w:lang w:val="en-US" w:eastAsia="zh-CN"/>
        </w:rPr>
        <w:t>同时拟支持红星美凯龙等企业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举办汽车新车和新能源车销售活动、大型车展等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u w:val="none" w:color="auto"/>
          <w:lang w:val="en-US" w:eastAsia="zh-CN"/>
        </w:rPr>
        <w:t>促消费</w:t>
      </w:r>
      <w:r>
        <w:rPr>
          <w:rFonts w:hint="eastAsia" w:ascii="仿宋_GB2312" w:eastAsia="仿宋_GB2312" w:cs="Times New Roman"/>
          <w:color w:val="000000"/>
          <w:sz w:val="32"/>
          <w:szCs w:val="32"/>
          <w:u w:val="none" w:color="auto"/>
          <w:lang w:val="en-US" w:eastAsia="zh-CN"/>
        </w:rPr>
        <w:t>活动，鼓励支持商贸流通企业开展丰富多彩的消费促进活动，促进</w:t>
      </w:r>
      <w:r>
        <w:rPr>
          <w:rFonts w:hint="eastAsia" w:ascii="仿宋_GB2312" w:eastAsia="仿宋_GB2312" w:cs="Times New Roman"/>
          <w:color w:val="000000"/>
          <w:sz w:val="32"/>
          <w:szCs w:val="32"/>
          <w:u w:val="none" w:color="auto"/>
          <w:lang w:val="en-US" w:eastAsia="zh-CN"/>
        </w:rPr>
        <w:t>商贸流通行业</w:t>
      </w:r>
      <w:r>
        <w:rPr>
          <w:rFonts w:hint="eastAsia" w:ascii="仿宋_GB2312" w:eastAsia="仿宋_GB2312" w:cs="Times New Roman"/>
          <w:color w:val="000000"/>
          <w:sz w:val="32"/>
          <w:szCs w:val="32"/>
          <w:u w:val="none" w:color="auto"/>
          <w:lang w:val="en-US" w:eastAsia="zh-CN"/>
        </w:rPr>
        <w:t>健康有序发展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u w:val="none" w:color="auto"/>
          <w:lang w:val="en-US" w:eastAsia="zh-CN"/>
        </w:rPr>
        <w:t>。</w:t>
      </w:r>
    </w:p>
    <w:p>
      <w:pPr>
        <w:numPr>
          <w:ilvl w:val="0"/>
          <w:numId w:val="0"/>
        </w:numPr>
        <w:ind w:left="640" w:leftChars="0"/>
        <w:rPr>
          <w:rFonts w:hint="default" w:ascii="楷体" w:hAnsi="楷体" w:eastAsia="楷体" w:cs="楷体"/>
          <w:b/>
          <w:bCs/>
          <w:color w:val="000000"/>
          <w:kern w:val="2"/>
          <w:sz w:val="32"/>
          <w:szCs w:val="32"/>
          <w:u w:val="none" w:color="auto"/>
          <w:lang w:val="en" w:eastAsia="zh-CN" w:bidi="ar-SA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u w:val="none" w:color="auto"/>
          <w:lang w:val="en-US" w:eastAsia="zh-CN"/>
        </w:rPr>
        <w:t>（二）通过技术赋能，助力企业多业态发展</w:t>
      </w:r>
    </w:p>
    <w:p>
      <w:pPr>
        <w:numPr>
          <w:ilvl w:val="0"/>
          <w:numId w:val="0"/>
        </w:numPr>
        <w:rPr>
          <w:rFonts w:hint="default" w:ascii="楷体" w:hAnsi="楷体" w:eastAsia="楷体" w:cs="楷体"/>
          <w:b/>
          <w:bCs/>
          <w:color w:val="000000"/>
          <w:kern w:val="2"/>
          <w:sz w:val="32"/>
          <w:szCs w:val="32"/>
          <w:u w:val="none" w:color="auto"/>
          <w:lang w:val="en" w:eastAsia="zh-CN" w:bidi="ar-SA"/>
        </w:rPr>
      </w:pPr>
      <w:r>
        <w:rPr>
          <w:rFonts w:hint="default" w:ascii="仿宋" w:hAnsi="仿宋" w:eastAsia="仿宋"/>
          <w:sz w:val="32"/>
          <w:szCs w:val="32"/>
          <w:lang w:val="en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依托电商园区，</w:t>
      </w:r>
      <w:r>
        <w:rPr>
          <w:rFonts w:hint="eastAsia" w:ascii="仿宋" w:hAnsi="仿宋" w:eastAsia="仿宋"/>
          <w:sz w:val="32"/>
          <w:szCs w:val="32"/>
          <w:lang w:eastAsia="zh-CN"/>
        </w:rPr>
        <w:t>继续实施全市电子商务万人培训计划，将一些有意愿发展电商的实体企业纳入到培训范围，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 w:bidi="ar"/>
        </w:rPr>
        <w:t>引导实体商业与电子商务融合发展，支持传统企业运用电子商务转型升级促进线上线下融合发展</w:t>
      </w:r>
      <w:r>
        <w:rPr>
          <w:rFonts w:hint="eastAsia" w:ascii="仿宋" w:hAnsi="仿宋" w:eastAsia="仿宋"/>
          <w:sz w:val="32"/>
          <w:szCs w:val="32"/>
        </w:rPr>
        <w:t>。</w:t>
      </w:r>
      <w:r>
        <w:rPr>
          <w:rFonts w:hint="eastAsia" w:ascii="仿宋" w:hAnsi="仿宋" w:eastAsia="仿宋"/>
          <w:sz w:val="32"/>
          <w:szCs w:val="32"/>
          <w:lang w:val="en" w:eastAsia="zh-CN"/>
        </w:rPr>
        <w:t>鼓励</w:t>
      </w:r>
      <w:r>
        <w:rPr>
          <w:rFonts w:hint="default" w:ascii="仿宋" w:hAnsi="仿宋" w:eastAsia="仿宋"/>
          <w:sz w:val="32"/>
          <w:szCs w:val="32"/>
          <w:lang w:val="en" w:eastAsia="zh-CN"/>
        </w:rPr>
        <w:t>企业利用空置场所，开展电商直播带货，促进家居市场通过线上线下融合互动，拓宽家具市场销售渠道，推动直播电商赋能专业家具市场转型纾解，进一步推动红星美凯龙启动运营空置场馆</w:t>
      </w:r>
      <w:r>
        <w:rPr>
          <w:rFonts w:hint="eastAsia" w:ascii="仿宋" w:hAnsi="仿宋" w:eastAsia="仿宋"/>
          <w:sz w:val="32"/>
          <w:szCs w:val="32"/>
          <w:lang w:val="en" w:eastAsia="zh-CN"/>
        </w:rPr>
        <w:t>。引导企业多业态发展，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注入新的业态基因、体验基因，让消费者有全新的、舒适的购物体验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。</w:t>
      </w:r>
    </w:p>
    <w:p>
      <w:pPr>
        <w:pStyle w:val="4"/>
        <w:numPr>
          <w:numId w:val="0"/>
        </w:numPr>
        <w:spacing w:before="0" w:beforeAutospacing="0" w:after="0" w:afterAutospacing="0"/>
        <w:jc w:val="both"/>
        <w:rPr>
          <w:rFonts w:hint="eastAsia" w:ascii="黑体" w:hAnsi="黑体" w:eastAsia="黑体" w:cs="黑体"/>
          <w:b w:val="0"/>
          <w:bCs/>
          <w:color w:val="262626"/>
          <w:sz w:val="32"/>
          <w:szCs w:val="32"/>
          <w:lang w:val="en" w:eastAsia="zh-CN"/>
        </w:rPr>
      </w:pPr>
      <w:r>
        <w:rPr>
          <w:rFonts w:hint="eastAsia" w:ascii="黑体" w:hAnsi="黑体" w:eastAsia="黑体" w:cs="黑体"/>
          <w:b w:val="0"/>
          <w:bCs/>
          <w:color w:val="262626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 w:val="0"/>
          <w:bCs/>
          <w:color w:val="262626"/>
          <w:sz w:val="32"/>
          <w:szCs w:val="32"/>
          <w:lang w:val="en" w:eastAsia="zh-CN"/>
        </w:rPr>
        <w:t>四、建议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after="270" w:afterAutospacing="0" w:line="420" w:lineRule="atLeast"/>
        <w:ind w:left="0" w:right="0" w:firstLine="0"/>
        <w:jc w:val="both"/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 xml:space="preserve">    建议企业积极顺应当前国际国内商业发展新趋势，研判企业面临的环境及形势，通过走出去学习先进经验，引进来新项目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导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引园区商户做大做强，扬长避短，用现代化的管理思想、方式和方法治理企业，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不断提升企业自身的管理能力，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开创符合企业发展的新路子。</w:t>
      </w:r>
    </w:p>
    <w:p>
      <w:pPr>
        <w:pStyle w:val="4"/>
        <w:spacing w:before="0" w:beforeAutospacing="0" w:after="0" w:afterAutospacing="0"/>
        <w:ind w:firstLine="640" w:firstLineChars="200"/>
        <w:rPr>
          <w:rFonts w:hint="eastAsia" w:ascii="仿宋" w:hAnsi="仿宋" w:eastAsia="仿宋"/>
          <w:color w:val="262626"/>
          <w:sz w:val="32"/>
          <w:szCs w:val="32"/>
        </w:rPr>
      </w:pPr>
      <w:bookmarkStart w:id="0" w:name="_GoBack"/>
      <w:bookmarkEnd w:id="0"/>
    </w:p>
    <w:p>
      <w:pPr>
        <w:pStyle w:val="4"/>
        <w:spacing w:before="0" w:beforeAutospacing="0" w:after="0" w:afterAutospacing="0"/>
        <w:ind w:firstLine="640" w:firstLineChars="200"/>
        <w:rPr>
          <w:rFonts w:hint="eastAsia" w:ascii="仿宋" w:hAnsi="仿宋" w:eastAsia="仿宋"/>
          <w:color w:val="262626"/>
          <w:sz w:val="32"/>
          <w:szCs w:val="32"/>
        </w:rPr>
      </w:pPr>
    </w:p>
    <w:p>
      <w:pPr>
        <w:pStyle w:val="4"/>
        <w:spacing w:before="0" w:beforeAutospacing="0" w:after="0" w:afterAutospacing="0"/>
        <w:ind w:firstLine="640" w:firstLineChars="200"/>
        <w:rPr>
          <w:rFonts w:hint="eastAsia" w:ascii="仿宋" w:hAnsi="仿宋" w:eastAsia="仿宋"/>
          <w:color w:val="262626"/>
          <w:sz w:val="32"/>
          <w:szCs w:val="32"/>
        </w:rPr>
      </w:pPr>
    </w:p>
    <w:p>
      <w:pPr>
        <w:pStyle w:val="4"/>
        <w:spacing w:before="0" w:beforeAutospacing="0" w:after="0" w:afterAutospacing="0"/>
        <w:ind w:firstLine="640" w:firstLineChars="200"/>
        <w:rPr>
          <w:rFonts w:hint="eastAsia" w:ascii="仿宋" w:hAnsi="仿宋" w:eastAsia="仿宋"/>
          <w:color w:val="262626"/>
          <w:sz w:val="32"/>
          <w:szCs w:val="32"/>
        </w:rPr>
      </w:pPr>
      <w:r>
        <w:rPr>
          <w:rFonts w:hint="eastAsia" w:ascii="仿宋" w:hAnsi="仿宋" w:eastAsia="仿宋"/>
          <w:color w:val="262626"/>
          <w:sz w:val="32"/>
          <w:szCs w:val="32"/>
        </w:rPr>
        <w:t xml:space="preserve">                           巴彦淖尔市商务局</w:t>
      </w:r>
    </w:p>
    <w:p>
      <w:pPr>
        <w:pStyle w:val="4"/>
        <w:spacing w:before="0" w:beforeAutospacing="0" w:after="0" w:afterAutospacing="0"/>
        <w:ind w:firstLine="640" w:firstLineChars="200"/>
      </w:pPr>
      <w:r>
        <w:rPr>
          <w:rFonts w:hint="eastAsia" w:ascii="仿宋" w:hAnsi="仿宋" w:eastAsia="仿宋"/>
          <w:color w:val="262626"/>
          <w:sz w:val="32"/>
          <w:szCs w:val="32"/>
        </w:rPr>
        <w:t xml:space="preserve">                           202</w:t>
      </w:r>
      <w:r>
        <w:rPr>
          <w:rFonts w:hint="default" w:ascii="仿宋" w:hAnsi="仿宋" w:eastAsia="仿宋"/>
          <w:color w:val="262626"/>
          <w:sz w:val="32"/>
          <w:szCs w:val="32"/>
          <w:lang w:val="en"/>
        </w:rPr>
        <w:t>2</w:t>
      </w:r>
      <w:r>
        <w:rPr>
          <w:rFonts w:hint="eastAsia" w:ascii="仿宋" w:hAnsi="仿宋" w:eastAsia="仿宋"/>
          <w:color w:val="262626"/>
          <w:sz w:val="32"/>
          <w:szCs w:val="32"/>
        </w:rPr>
        <w:t>年</w:t>
      </w:r>
      <w:r>
        <w:rPr>
          <w:rFonts w:hint="default" w:ascii="仿宋" w:hAnsi="仿宋" w:eastAsia="仿宋"/>
          <w:color w:val="262626"/>
          <w:sz w:val="32"/>
          <w:szCs w:val="32"/>
          <w:lang w:val="en"/>
        </w:rPr>
        <w:t>6</w:t>
      </w:r>
      <w:r>
        <w:rPr>
          <w:rFonts w:hint="eastAsia" w:ascii="仿宋" w:hAnsi="仿宋" w:eastAsia="仿宋"/>
          <w:color w:val="262626"/>
          <w:sz w:val="32"/>
          <w:szCs w:val="32"/>
        </w:rPr>
        <w:t>月</w:t>
      </w:r>
      <w:r>
        <w:rPr>
          <w:rFonts w:hint="default" w:ascii="仿宋" w:hAnsi="仿宋" w:eastAsia="仿宋"/>
          <w:color w:val="262626"/>
          <w:sz w:val="32"/>
          <w:szCs w:val="32"/>
          <w:lang w:val="en"/>
        </w:rPr>
        <w:t>9</w:t>
      </w:r>
      <w:r>
        <w:rPr>
          <w:rFonts w:hint="eastAsia" w:ascii="仿宋" w:hAnsi="仿宋" w:eastAsia="仿宋"/>
          <w:color w:val="262626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FD3968"/>
    <w:multiLevelType w:val="singleLevel"/>
    <w:tmpl w:val="DFFD396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7BFE62D8"/>
    <w:rsid w:val="9AFF8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user</cp:lastModifiedBy>
  <cp:lastPrinted>2022-06-13T16:48:15Z</cp:lastPrinted>
  <dcterms:modified xsi:type="dcterms:W3CDTF">2022-06-13T16:52:42Z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