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对市政协五届二次会议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/>
          <w:b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第008号提案的回复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" w:eastAsia="zh-CN" w:bidi="ar-SA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" w:eastAsia="zh-CN" w:bidi="ar-SA"/>
        </w:rPr>
        <w:t>孙溢委员、农工党市委会：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" w:eastAsia="zh-CN" w:bidi="ar-SA"/>
        </w:rPr>
        <w:t>您提出的关于“提振消费信心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释放消费潜力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" w:eastAsia="zh-CN" w:bidi="ar-SA"/>
        </w:rPr>
        <w:t>”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的提案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" w:eastAsia="zh-CN" w:bidi="ar-SA"/>
        </w:rPr>
        <w:t>收悉，现答复如下：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" w:eastAsia="e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我市社会消费品零售总额从2020年开始，增速徘徊在9名之后，近三年来，多次作为专题汇报相关情况。2022年底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" w:eastAsia="en" w:bidi="ar-SA"/>
        </w:rPr>
        <w:t>全市社会消费品零售总额完成219.5亿元，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" w:eastAsia="zh-CN" w:bidi="ar-SA"/>
        </w:rPr>
        <w:t>排名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" w:eastAsia="en" w:bidi="ar-SA"/>
        </w:rPr>
        <w:t>全区第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8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" w:eastAsia="zh-CN" w:bidi="ar-SA"/>
        </w:rPr>
        <w:t>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" w:eastAsia="en" w:bidi="ar-SA"/>
        </w:rPr>
        <w:t>增速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-3.0%，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" w:eastAsia="en" w:bidi="ar-SA"/>
        </w:rPr>
        <w:t>排名全区第10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" w:eastAsia="zh-CN" w:bidi="ar-SA"/>
        </w:rPr>
        <w:t>（比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2022年前三季度排名提前2位，与1-11月排名相同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" w:eastAsia="zh-CN" w:bidi="ar-SA"/>
        </w:rPr>
        <w:t>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" w:eastAsia="en" w:bidi="ar-SA"/>
        </w:rPr>
        <w:t>。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" w:eastAsia="zh-CN" w:bidi="ar-SA"/>
        </w:rPr>
        <w:t>2023年我市社会消费品零售总额增速实现由负转正，1-2月我市增速为4.3%，与赤峰并列，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排名第7位，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" w:eastAsia="zh-CN" w:bidi="ar-SA"/>
        </w:rPr>
        <w:t>超过包头、通辽、呼伦贝尔、兴安盟；一季度我市同比增长6.4%，居自治区第8位，超过乌海、呼伦贝尔、通辽、兴安盟，排位情况与1-2月基本相似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" w:eastAsia="zh-CN" w:bidi="ar-SA"/>
        </w:rPr>
        <w:t>，较去年底提升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2个位次，全市消费品市场逐步回暖，市场活跃度逐步提升，为全年消费形势奠定良好开局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；1-4月，全市社会消费品零售总额实现73.6亿元，同比增长8.8%，较一季度提高2.4个百分点，增速位居全区第五位。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为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" w:eastAsia="zh-CN" w:bidi="ar-SA"/>
        </w:rPr>
        <w:t>深入贯彻党的二十大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精神，认真落实《扩大内需战略规划纲要（2022-2035年）》、《内蒙古自治区2023年坚持稳中快进 稳中优进推动产业高质量发展政策清单》文件要求，按照中央及自治区经济工作会议有关扩大消费决策部署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" w:eastAsia="zh-CN" w:bidi="ar-SA"/>
        </w:rPr>
        <w:t>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2023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" w:eastAsia="zh-CN" w:bidi="ar-SA"/>
        </w:rPr>
        <w:t>年，我局紧紧围绕市委、市政府确定的总体目标，按照政府工作报告关于消费促进重点工作要求，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" w:eastAsia="zh-CN" w:bidi="ar-SA"/>
        </w:rPr>
        <w:t>进一步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" w:eastAsia="zh-CN" w:bidi="ar-SA"/>
        </w:rPr>
        <w:t>活跃消费市场，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" w:eastAsia="zh-CN" w:bidi="ar-SA"/>
        </w:rPr>
        <w:t>释放消费潜力，更好满足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" w:eastAsia="zh-CN" w:bidi="ar-SA"/>
        </w:rPr>
        <w:t>人民群众个性化、多样化、高品质消费需求，切实发挥职能作用，开拓进取、扎实工作，在全市范围内组织开展各类消费促进活动，并取得了良好的效果。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" w:eastAsia="zh-CN" w:bidi="ar-SA"/>
        </w:rPr>
        <w:t>一是制定针对性更强、含金量更高的政策。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" w:eastAsia="zh-CN" w:bidi="ar-SA"/>
        </w:rPr>
        <w:t>在《巴彦淖尔市2023年坚持稳中快进稳中优进推动产业高质量发展政策清单》中，关于促进消费工作提质提效的政策列了8条；研究制定了《巴彦淖尔市2023年消费促进工作方案》，2023年我市积极争取了532万元内贸服务业专项资金，全部用于扩大内需、促进消费工作，最大限度的发挥好内贸服务业资金杠杆作用，全力带动我市消费促进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 xml:space="preserve"> 二是扩大汽车、家电、家具等大宗商品消费。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" w:eastAsia="zh-CN" w:bidi="ar-SA"/>
        </w:rPr>
        <w:t>在社零中占比较大的汽车、家电、家具等行业消费券带动比例较高，因此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安排内贸流通服务业发展专项资金100万元发放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" w:eastAsia="zh-CN" w:bidi="ar-SA"/>
        </w:rPr>
        <w:t>汽车、家电、家具专项消费券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。3月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" w:eastAsia="zh-CN" w:bidi="ar-SA"/>
        </w:rPr>
        <w:t>“巴彦淖尔家装节”活动投入资金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万元，直接拉动消费200多万元，带动家具行业增速高达三倍，投入资金30万元发放家电消费券，带动比例达到1：10；车展期间，投入50万元发放汽车消费券，销售373台，拉动经济5220万元，缩减一季度汽车行业下降幅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三是持续活跃消费市场。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" w:eastAsia="zh-CN" w:bidi="ar-SA"/>
        </w:rPr>
        <w:t>023年以来，市商务局提前谋划、精心组织、强化统筹，充分调动旗县区各类资源，开展活动宣传推介，指导各大商贸流通企业积极开展促销活动，全力营造我市春节期间浓厚消费氛围，带动居民消费潜力，稳步提振市场消费信心，跨年迎新购物季主题促销活动精彩纷呈。春节期间全市重点商场、超市、零售、餐饮等重点行业共拉动消费6800余万元。临河、中旗、后旗节日期间持续发放政府消费券，拉动消费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1000余万元。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" w:eastAsia="e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四是推动商贸流通载体提质升级。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" w:eastAsia="en" w:bidi="ar-SA"/>
        </w:rPr>
        <w:t>积极培育定制、体验、智能等消费新热点，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开展绿色商场创建工作，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" w:eastAsia="en" w:bidi="ar-SA"/>
        </w:rPr>
        <w:t>探索发展智慧商店、智慧商圈等新零售业态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" w:eastAsia="zh-CN" w:bidi="ar-SA"/>
        </w:rPr>
        <w:t>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加快推进黄河湾步行街升级改造进度。鼓励支持老字号传承保护创新发展，积极培育山东老字号德景园、爱蒙床垫等首店首发项目3-5个，点亮我市夜间经济，鼓励开展早、集、夜市，丰富消费内容，创新消费场景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" w:eastAsia="en" w:bidi="ar-SA"/>
        </w:rPr>
        <w:t>争取自治区级县域商业体系建设试点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" w:eastAsia="zh-CN" w:bidi="ar-SA"/>
        </w:rPr>
        <w:t>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" w:eastAsia="en" w:bidi="ar-SA"/>
        </w:rPr>
        <w:t>支持升级改造一批商贸中心、农贸市场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" w:eastAsia="zh-CN" w:bidi="ar-SA"/>
        </w:rPr>
        <w:t>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" w:eastAsia="en" w:bidi="ar-SA"/>
        </w:rPr>
        <w:t>满足农牧民消费升级需求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" w:eastAsia="zh-CN" w:bidi="ar-SA"/>
        </w:rPr>
        <w:t>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" w:eastAsia="en" w:bidi="ar-SA"/>
        </w:rPr>
        <w:t>促进农畜产品冷链物流发展，完善农畜产品流通体系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" w:eastAsia="zh-CN" w:bidi="ar-SA"/>
        </w:rPr>
        <w:t>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稳步推进乌拉特中旗国家级电子商务进农村示范项目建设。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" w:eastAsia="en" w:bidi="ar-SA"/>
        </w:rPr>
        <w:t>继续完善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全市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" w:eastAsia="en" w:bidi="ar-SA"/>
        </w:rPr>
        <w:t>县乡村三级物流配送体系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" w:eastAsia="zh-CN" w:bidi="ar-SA"/>
        </w:rPr>
        <w:t>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" w:eastAsia="en" w:bidi="ar-SA"/>
        </w:rPr>
        <w:t>扩大农畜产品网络销售渠道，进一步促进农村消费。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五是创造线上线下消费新融合。一是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引导网络购物、直播带货、在线服务、短视频应用等线上平台与传统百货、商超便利、住宿餐饮、文旅景区等传统实体加强合作，创新营销活动方式，开展线上线下融合的促销活动。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二是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在活动中促进在线教育、在线娱乐、线上旅游、无接触配送、无人零售等消费新业态新模式的有机融合、良性互动，鼓励企业进一步丰富商品和服务供给，提升消费智能化、便利化水平。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三是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开展专项电商消费券发放活动，通过对淘宝店铺的电商企业补贴政府消费券的活动，引导企业向电商化发展，鼓励电商企业促进销售。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</w:t>
      </w:r>
    </w:p>
    <w:p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           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                  巴彦淖尔市商务局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                  2023年5月15日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pStyle w:val="2"/>
        <w:ind w:firstLine="640" w:firstLineChars="200"/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签发人：乌德木</w:t>
      </w:r>
    </w:p>
    <w:p>
      <w:pPr>
        <w:pStyle w:val="2"/>
        <w:ind w:firstLine="640"/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承办人：杨  娜</w:t>
      </w:r>
    </w:p>
    <w:p>
      <w:pPr>
        <w:pStyle w:val="2"/>
        <w:ind w:firstLine="64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电  话：0478-8922697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  <w:jc w:val="center"/>
        <w:rPr>
          <w:rFonts w:hint="eastAsia" w:eastAsia="仿宋_GB2312"/>
          <w:lang w:eastAsia="zh-CN"/>
        </w:rPr>
      </w:pPr>
      <w:r>
        <w:rPr>
          <w:rFonts w:hint="eastAsia" w:eastAsia="仿宋_GB2312"/>
          <w:lang w:eastAsia="zh-CN"/>
        </w:rPr>
        <w:drawing>
          <wp:inline distT="0" distB="0" distL="114300" distR="114300">
            <wp:extent cx="4950460" cy="8679815"/>
            <wp:effectExtent l="0" t="0" r="2540" b="6985"/>
            <wp:docPr id="3" name="图片 3" descr="释放消费潜力回复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释放消费潜力回复1"/>
                    <pic:cNvPicPr>
                      <a:picLocks noChangeAspect="true"/>
                    </pic:cNvPicPr>
                  </pic:nvPicPr>
                  <pic:blipFill>
                    <a:blip r:embed="rId5"/>
                    <a:srcRect t="5310" b="13778"/>
                    <a:stretch>
                      <a:fillRect/>
                    </a:stretch>
                  </pic:blipFill>
                  <pic:spPr>
                    <a:xfrm>
                      <a:off x="0" y="0"/>
                      <a:ext cx="4950460" cy="867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仿宋_GB2312"/>
          <w:lang w:eastAsia="zh-CN"/>
        </w:rPr>
        <w:drawing>
          <wp:inline distT="0" distB="0" distL="114300" distR="114300">
            <wp:extent cx="4896485" cy="8714740"/>
            <wp:effectExtent l="0" t="0" r="18415" b="10160"/>
            <wp:docPr id="2" name="图片 2" descr="释放消费潜力回复2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释放消费潜力回复2"/>
                    <pic:cNvPicPr>
                      <a:picLocks noChangeAspect="true"/>
                    </pic:cNvPicPr>
                  </pic:nvPicPr>
                  <pic:blipFill>
                    <a:blip r:embed="rId6"/>
                    <a:srcRect t="12917" b="4952"/>
                    <a:stretch>
                      <a:fillRect/>
                    </a:stretch>
                  </pic:blipFill>
                  <pic:spPr>
                    <a:xfrm>
                      <a:off x="0" y="0"/>
                      <a:ext cx="4896485" cy="8714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4ED71AA0"/>
    <w:rsid w:val="5FECACAF"/>
    <w:rsid w:val="7BDF2C17"/>
    <w:rsid w:val="7D7DE344"/>
    <w:rsid w:val="7FED069D"/>
    <w:rsid w:val="AFDC0C9C"/>
    <w:rsid w:val="DFD7858B"/>
    <w:rsid w:val="DFDBCB1F"/>
    <w:rsid w:val="EFCBBCD3"/>
    <w:rsid w:val="FEFC8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Times New Roman" w:hAnsi="Times New Roman" w:eastAsia="仿宋_GB2312" w:cs="Times New Roman"/>
      <w:sz w:val="32"/>
      <w:lang w:bidi="ar-SA"/>
    </w:rPr>
  </w:style>
  <w:style w:type="paragraph" w:customStyle="1" w:styleId="3">
    <w:name w:val="目录 81"/>
    <w:next w:val="1"/>
    <w:qFormat/>
    <w:uiPriority w:val="0"/>
    <w:pPr>
      <w:wordWrap w:val="0"/>
      <w:ind w:left="2975"/>
      <w:jc w:val="both"/>
    </w:pPr>
    <w:rPr>
      <w:rFonts w:ascii="Times New Roman" w:hAnsi="Times New Roman" w:eastAsia="宋体" w:cs="Times New Roman"/>
      <w:kern w:val="0"/>
      <w:sz w:val="21"/>
      <w:szCs w:val="20"/>
      <w:lang w:val="en-US" w:eastAsia="zh-CN"/>
    </w:rPr>
  </w:style>
  <w:style w:type="paragraph" w:styleId="4">
    <w:name w:val="index 5"/>
    <w:basedOn w:val="1"/>
    <w:next w:val="1"/>
    <w:qFormat/>
    <w:uiPriority w:val="0"/>
    <w:pPr>
      <w:ind w:left="168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9">
    <w:name w:val="Char"/>
    <w:basedOn w:val="1"/>
    <w:next w:val="1"/>
    <w:qFormat/>
    <w:uiPriority w:val="0"/>
    <w:pPr>
      <w:spacing w:line="240" w:lineRule="atLeast"/>
      <w:ind w:left="420" w:firstLine="420"/>
      <w:jc w:val="left"/>
    </w:pPr>
    <w:rPr>
      <w:rFonts w:ascii="Times New Roman" w:hAnsi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2018-07-13T23:11:00Z</dcterms:created>
  <dc:creator>d</dc:creator>
  <cp:lastModifiedBy>user</cp:lastModifiedBy>
  <cp:lastPrinted>2023-05-24T03:00:00Z</cp:lastPrinted>
  <dcterms:modified xsi:type="dcterms:W3CDTF">2023-05-26T10:59:16Z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