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方正小标宋简体"/>
          <w:sz w:val="32"/>
          <w:szCs w:val="32"/>
          <w:lang w:eastAsia="zh-CN"/>
        </w:rPr>
      </w:pPr>
      <w:r>
        <w:rPr>
          <w:rFonts w:hint="eastAsia" w:ascii="方正小标宋简体" w:hAnsi="Times New Roman" w:eastAsia="方正小标宋简体"/>
          <w:sz w:val="44"/>
          <w:szCs w:val="44"/>
        </w:rPr>
        <w:t>关于</w:t>
      </w:r>
      <w:r>
        <w:rPr>
          <w:rFonts w:hint="eastAsia" w:ascii="方正小标宋简体" w:hAnsi="Times New Roman" w:eastAsia="方正小标宋简体"/>
          <w:sz w:val="44"/>
          <w:szCs w:val="44"/>
          <w:lang w:eastAsia="zh-CN"/>
        </w:rPr>
        <w:t>对市政协五届二次</w:t>
      </w:r>
      <w:r>
        <w:rPr>
          <w:rFonts w:hint="eastAsia" w:ascii="方正小标宋简体" w:hAnsi="Times New Roman" w:eastAsia="方正小标宋简体"/>
          <w:sz w:val="44"/>
          <w:szCs w:val="44"/>
          <w:lang w:val="en-US" w:eastAsia="zh-CN"/>
        </w:rPr>
        <w:t>会议第12号</w:t>
      </w:r>
      <w:r>
        <w:rPr>
          <w:rFonts w:hint="eastAsia" w:ascii="方正小标宋简体" w:hAnsi="Times New Roman" w:eastAsia="方正小标宋简体"/>
          <w:sz w:val="44"/>
          <w:szCs w:val="44"/>
        </w:rPr>
        <w:t>提案的</w:t>
      </w:r>
      <w:r>
        <w:rPr>
          <w:rFonts w:hint="eastAsia" w:ascii="方正小标宋简体" w:hAnsi="Times New Roman" w:eastAsia="方正小标宋简体"/>
          <w:sz w:val="44"/>
          <w:szCs w:val="44"/>
          <w:lang w:eastAsia="zh-CN"/>
        </w:rPr>
        <w:t>答复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赵磊</w:t>
      </w:r>
      <w:r>
        <w:rPr>
          <w:rFonts w:hint="eastAsia" w:ascii="仿宋_GB2312" w:hAnsi="仿宋_GB2312" w:eastAsia="仿宋_GB2312" w:cs="仿宋_GB2312"/>
          <w:sz w:val="32"/>
          <w:szCs w:val="32"/>
        </w:rPr>
        <w:t>委员</w:t>
      </w:r>
      <w:r>
        <w:rPr>
          <w:rFonts w:hint="eastAsia" w:ascii="仿宋_GB2312" w:hAnsi="仿宋_GB2312" w:eastAsia="仿宋_GB2312" w:cs="仿宋_GB2312"/>
          <w:sz w:val="32"/>
          <w:szCs w:val="32"/>
          <w:lang w:eastAsia="zh-CN"/>
        </w:rPr>
        <w:t>（工商联）</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提出的《</w:t>
      </w:r>
      <w:r>
        <w:rPr>
          <w:rFonts w:hint="eastAsia" w:ascii="仿宋_GB2312" w:hAnsi="仿宋_GB2312" w:eastAsia="仿宋_GB2312" w:cs="仿宋_GB2312"/>
          <w:sz w:val="32"/>
          <w:szCs w:val="32"/>
          <w:lang w:eastAsia="zh-CN"/>
        </w:rPr>
        <w:t>关于促进我市农畜产品电商直播产业</w:t>
      </w:r>
      <w:r>
        <w:rPr>
          <w:rFonts w:hint="eastAsia" w:ascii="仿宋_GB2312" w:hAnsi="仿宋_GB2312" w:eastAsia="仿宋_GB2312" w:cs="仿宋_GB2312"/>
          <w:sz w:val="32"/>
          <w:szCs w:val="32"/>
        </w:rPr>
        <w:t>的提案》收悉，</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如下答复：</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方正黑体_GBK" w:hAnsi="方正黑体_GBK" w:eastAsia="方正黑体_GBK" w:cs="方正黑体_GBK"/>
          <w:b w:val="0"/>
          <w:bCs w:val="0"/>
          <w:color w:val="000000"/>
          <w:sz w:val="32"/>
          <w:szCs w:val="32"/>
          <w:u w:val="none" w:color="auto"/>
          <w:lang w:val="en-US" w:eastAsia="zh-CN"/>
        </w:rPr>
      </w:pPr>
      <w:r>
        <w:rPr>
          <w:rFonts w:hint="eastAsia" w:ascii="方正黑体_GBK" w:hAnsi="方正黑体_GBK" w:eastAsia="方正黑体_GBK" w:cs="方正黑体_GBK"/>
          <w:b w:val="0"/>
          <w:bCs w:val="0"/>
          <w:color w:val="000000"/>
          <w:sz w:val="32"/>
          <w:szCs w:val="32"/>
          <w:u w:val="none" w:color="auto"/>
          <w:lang w:val="en-US" w:eastAsia="zh-CN"/>
        </w:rPr>
        <w:t>一、科学制定相关政策，推动电子商务快速发展</w:t>
      </w:r>
    </w:p>
    <w:p>
      <w:pPr>
        <w:keepNext w:val="0"/>
        <w:keepLines w:val="0"/>
        <w:pageBreakBefore w:val="0"/>
        <w:widowControl w:val="0"/>
        <w:numPr>
          <w:ilvl w:val="0"/>
          <w:numId w:val="0"/>
        </w:numPr>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近年来，我市坚持把发展电子商务作为</w:t>
      </w:r>
      <w:r>
        <w:rPr>
          <w:rFonts w:hint="eastAsia" w:ascii="仿宋_GB2312" w:hAnsi="仿宋_GB2312" w:eastAsia="仿宋_GB2312" w:cs="仿宋_GB2312"/>
          <w:sz w:val="32"/>
          <w:szCs w:val="32"/>
          <w:lang w:val="en-US" w:eastAsia="zh-CN"/>
        </w:rPr>
        <w:t>国家网络市场监管与服务示范区创建的</w:t>
      </w:r>
      <w:r>
        <w:rPr>
          <w:rFonts w:hint="eastAsia" w:ascii="仿宋_GB2312" w:hAnsi="仿宋_GB2312" w:eastAsia="仿宋_GB2312" w:cs="仿宋_GB2312"/>
          <w:sz w:val="32"/>
          <w:szCs w:val="32"/>
        </w:rPr>
        <w:t>重要举措来抓，</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sz w:val="32"/>
          <w:szCs w:val="32"/>
          <w:lang w:val="en-US" w:eastAsia="zh-CN"/>
        </w:rPr>
        <w:t>《2022年巴彦淖尔市“稳中求进”高质量发展政策清单》中</w:t>
      </w:r>
      <w:r>
        <w:rPr>
          <w:rFonts w:hint="eastAsia" w:ascii="仿宋_GB2312" w:hAnsi="仿宋_GB2312" w:eastAsia="仿宋_GB2312" w:cs="仿宋_GB2312"/>
          <w:kern w:val="2"/>
          <w:sz w:val="32"/>
          <w:szCs w:val="32"/>
          <w:lang w:val="en-US" w:eastAsia="zh-CN" w:bidi="ar-SA"/>
        </w:rPr>
        <w:t>制定了2项</w:t>
      </w:r>
      <w:r>
        <w:rPr>
          <w:rFonts w:hint="eastAsia" w:ascii="仿宋_GB2312" w:hAnsi="仿宋_GB2312" w:eastAsia="仿宋_GB2312" w:cs="仿宋_GB2312"/>
          <w:sz w:val="32"/>
          <w:szCs w:val="32"/>
          <w:lang w:val="en-US" w:eastAsia="zh-CN"/>
        </w:rPr>
        <w:t>促进电子商务发展的政策措施，对电子商务年交易额达到5000万元及以上的企业给予3-5万元奖励，对年内进行电子商务知识、技能等培训达1000人次以上的电子商务产业园给予5万元奖励，2022年已对符合条件的4家企业，5个电商园区进行奖励。</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在《巴彦淖尔市2023年坚持稳中快进稳中优进推动产业高质量发展政策清单》制定了1项促进电子商务发展的措施，</w:t>
      </w: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鼓励企业针对河套地域特色优势产业、特色商品进行电商化改造，培育“小而美”“小而精”“小而优”网络品牌，拓展线上营销渠道。支持具备条件的旗县区利用现有基础开展电子商务共享云仓试点示范工作，降低电子商务企业综合运营成本，带动小型电商企业发展，对成功申报电子商务共享云仓试点示范目和优势产业电商化改造的项目，利用自治区专项资金分别给予200万元和300万元支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政府印发了《巴彦淖尔市“快递进村”补贴实施方案》，《方案》明确了补贴范围、申报程序，并明确由各旗县区人民政府对实施快递进村（嘎查）项目的企业按照每单不超过0.3元实施补贴，推进快递服务延伸，助力优化城乡双向物流结构，进一步激发农村市场潜力。目前，全市7个旗县区申报“快递进村”补贴的企业共15家，合计申报补贴金额1138777元。</w:t>
      </w:r>
      <w:r>
        <w:rPr>
          <w:rFonts w:hint="eastAsia" w:ascii="仿宋_GB2312" w:hAnsi="仿宋_GB2312" w:eastAsia="仿宋_GB2312" w:cs="仿宋_GB2312"/>
          <w:b/>
          <w:bCs/>
          <w:i w:val="0"/>
          <w:color w:val="000000" w:themeColor="text1"/>
          <w:kern w:val="0"/>
          <w:sz w:val="32"/>
          <w:szCs w:val="32"/>
          <w:u w:val="none"/>
          <w:lang w:val="en-US" w:eastAsia="zh-CN" w:bidi="ar"/>
          <w14:textFill>
            <w14:solidFill>
              <w14:schemeClr w14:val="tx1"/>
            </w14:solidFill>
          </w14:textFill>
        </w:rPr>
        <w:t>四是</w:t>
      </w:r>
      <w:r>
        <w:rPr>
          <w:rFonts w:hint="eastAsia" w:ascii="仿宋_GB2312" w:hAnsi="仿宋_GB2312" w:eastAsia="仿宋_GB2312" w:cs="仿宋_GB2312"/>
          <w:sz w:val="32"/>
          <w:szCs w:val="32"/>
          <w:lang w:val="en-US" w:eastAsia="zh-CN"/>
        </w:rPr>
        <w:t>制定了《五原县农村电商农产品体系建设方案》，相继与50家电商企业与商户展开品牌孵化合作，设计了25款农产品包装，印制农特产品包装50万个。开发10款农特产品，相继上市销售。蜜瓜、玉米、黄柿子销量可观，年均销售分别600万、800万、400万元。</w:t>
      </w:r>
    </w:p>
    <w:p>
      <w:pPr>
        <w:keepNext w:val="0"/>
        <w:keepLines w:val="0"/>
        <w:pageBreakBefore w:val="0"/>
        <w:widowControl w:val="0"/>
        <w:numPr>
          <w:ilvl w:val="0"/>
          <w:numId w:val="0"/>
        </w:numPr>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ind w:firstLine="640"/>
        <w:textAlignment w:val="auto"/>
        <w:rPr>
          <w:rFonts w:hint="eastAsia" w:ascii="方正黑体_GBK" w:hAnsi="方正黑体_GBK" w:eastAsia="方正黑体_GBK" w:cs="方正黑体_GBK"/>
          <w:b w:val="0"/>
          <w:bCs w:val="0"/>
          <w:color w:val="000000"/>
          <w:sz w:val="32"/>
          <w:szCs w:val="32"/>
          <w:u w:val="none" w:color="auto"/>
          <w:lang w:val="en-US" w:eastAsia="zh-CN"/>
        </w:rPr>
      </w:pPr>
      <w:r>
        <w:rPr>
          <w:rFonts w:hint="eastAsia" w:ascii="方正黑体_GBK" w:hAnsi="方正黑体_GBK" w:eastAsia="方正黑体_GBK" w:cs="方正黑体_GBK"/>
          <w:b w:val="0"/>
          <w:bCs w:val="0"/>
          <w:color w:val="000000"/>
          <w:sz w:val="32"/>
          <w:szCs w:val="32"/>
          <w:u w:val="none" w:color="auto"/>
          <w:lang w:val="en-US" w:eastAsia="zh-CN"/>
        </w:rPr>
        <w:t>二、开展示范创建，推动电商创新融合发展</w:t>
      </w:r>
    </w:p>
    <w:p>
      <w:pPr>
        <w:keepNext w:val="0"/>
        <w:keepLines w:val="0"/>
        <w:pageBreakBefore w:val="0"/>
        <w:widowControl w:val="0"/>
        <w:numPr>
          <w:ilvl w:val="0"/>
          <w:numId w:val="0"/>
        </w:numPr>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全力推进电子商务示范创建工作，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先后获评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个国家级</w:t>
      </w:r>
      <w:r>
        <w:rPr>
          <w:rFonts w:hint="eastAsia" w:ascii="仿宋_GB2312" w:hAnsi="仿宋_GB2312" w:eastAsia="仿宋_GB2312" w:cs="仿宋_GB2312"/>
          <w:color w:val="000000" w:themeColor="text1"/>
          <w:sz w:val="32"/>
          <w:szCs w:val="32"/>
          <w:lang w:eastAsia="zh-CN"/>
          <w14:textFill>
            <w14:solidFill>
              <w14:schemeClr w14:val="tx1"/>
            </w14:solidFill>
          </w14:textFill>
        </w:rPr>
        <w:t>（五原县、乌拉特前旗、乌拉特中旗）</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个自治区级</w:t>
      </w:r>
      <w:r>
        <w:rPr>
          <w:rFonts w:hint="eastAsia" w:ascii="仿宋_GB2312" w:hAnsi="仿宋_GB2312" w:eastAsia="仿宋_GB2312" w:cs="仿宋_GB2312"/>
          <w:color w:val="000000" w:themeColor="text1"/>
          <w:sz w:val="32"/>
          <w:szCs w:val="32"/>
          <w:lang w:eastAsia="zh-CN"/>
          <w14:textFill>
            <w14:solidFill>
              <w14:schemeClr w14:val="tx1"/>
            </w14:solidFill>
          </w14:textFill>
        </w:rPr>
        <w:t>（杭锦后旗）</w:t>
      </w:r>
      <w:r>
        <w:rPr>
          <w:rFonts w:hint="eastAsia" w:ascii="仿宋_GB2312" w:hAnsi="仿宋_GB2312" w:eastAsia="仿宋_GB2312" w:cs="仿宋_GB2312"/>
          <w:color w:val="000000" w:themeColor="text1"/>
          <w:sz w:val="32"/>
          <w:szCs w:val="32"/>
          <w14:textFill>
            <w14:solidFill>
              <w14:schemeClr w14:val="tx1"/>
            </w14:solidFill>
          </w14:textFill>
        </w:rPr>
        <w:t>电子商务进农村综合示范县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，争取上级</w:t>
      </w:r>
      <w:r>
        <w:rPr>
          <w:rFonts w:hint="eastAsia" w:ascii="仿宋_GB2312" w:hAnsi="仿宋_GB2312" w:eastAsia="仿宋_GB2312" w:cs="仿宋_GB2312"/>
          <w:color w:val="000000" w:themeColor="text1"/>
          <w:sz w:val="32"/>
          <w:szCs w:val="32"/>
          <w14:textFill>
            <w14:solidFill>
              <w14:schemeClr w14:val="tx1"/>
            </w14:solidFill>
          </w14:textFill>
        </w:rPr>
        <w:t>财政补贴资金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500万元。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通过项目</w:t>
      </w:r>
      <w:r>
        <w:rPr>
          <w:rFonts w:hint="eastAsia" w:ascii="仿宋_GB2312" w:hAnsi="仿宋_GB2312" w:eastAsia="仿宋_GB2312" w:cs="仿宋_GB2312"/>
          <w:color w:val="000000" w:themeColor="text1"/>
          <w:sz w:val="32"/>
          <w:szCs w:val="32"/>
          <w14:textFill>
            <w14:solidFill>
              <w14:schemeClr w14:val="tx1"/>
            </w14:solidFill>
          </w14:textFill>
        </w:rPr>
        <w:t>引领带动</w:t>
      </w:r>
      <w:r>
        <w:rPr>
          <w:rFonts w:hint="eastAsia" w:ascii="仿宋_GB2312" w:hAnsi="仿宋_GB2312" w:eastAsia="仿宋_GB2312" w:cs="仿宋_GB2312"/>
          <w:color w:val="000000" w:themeColor="text1"/>
          <w:sz w:val="32"/>
          <w:szCs w:val="32"/>
          <w:lang w:eastAsia="zh-CN"/>
          <w14:textFill>
            <w14:solidFill>
              <w14:schemeClr w14:val="tx1"/>
            </w14:solidFill>
          </w14:textFill>
        </w:rPr>
        <w:t>全市</w:t>
      </w:r>
      <w:r>
        <w:rPr>
          <w:rFonts w:hint="eastAsia" w:ascii="仿宋_GB2312" w:hAnsi="仿宋_GB2312" w:eastAsia="仿宋_GB2312" w:cs="仿宋_GB2312"/>
          <w:color w:val="000000" w:themeColor="text1"/>
          <w:sz w:val="32"/>
          <w:szCs w:val="32"/>
          <w14:textFill>
            <w14:solidFill>
              <w14:schemeClr w14:val="tx1"/>
            </w14:solidFill>
          </w14:textFill>
        </w:rPr>
        <w:t>电子商务进农村牧区</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工作取得积极成效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按照既能推动农副产品销售、帮助群众脱贫致富，又能促进乡村振兴的要求，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改造提升652个农村电商服务网点，实现了全市行政村全覆盖，</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基本建设形成县、乡、村三级电商快递物流网络，</w:t>
      </w:r>
      <w:r>
        <w:rPr>
          <w:rFonts w:hint="eastAsia" w:ascii="仿宋_GB2312" w:hAnsi="仿宋_GB2312" w:eastAsia="仿宋_GB2312" w:cs="仿宋_GB2312"/>
          <w:color w:val="000000" w:themeColor="text1"/>
          <w:sz w:val="32"/>
          <w:szCs w:val="32"/>
          <w14:textFill>
            <w14:solidFill>
              <w14:schemeClr w14:val="tx1"/>
            </w14:solidFill>
          </w14:textFill>
        </w:rPr>
        <w:t>助推当地的特色农畜产品，远销全国各地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textAlignment w:val="auto"/>
        <w:rPr>
          <w:rFonts w:hint="eastAsia" w:ascii="黑体" w:hAnsi="黑体" w:eastAsia="黑体" w:cs="黑体"/>
          <w:b/>
          <w:bCs/>
          <w:color w:val="000000" w:themeColor="text1"/>
          <w:sz w:val="32"/>
          <w:szCs w:val="32"/>
          <w:u w:val="none" w:color="auto"/>
          <w:lang w:val="en-US" w:eastAsia="zh-CN"/>
          <w14:textFill>
            <w14:solidFill>
              <w14:schemeClr w14:val="tx1"/>
            </w14:solidFill>
          </w14:textFill>
        </w:rPr>
      </w:pPr>
      <w:r>
        <w:rPr>
          <w:rFonts w:hint="eastAsia" w:ascii="方正黑体_GBK" w:hAnsi="方正黑体_GBK" w:eastAsia="方正黑体_GBK" w:cs="方正黑体_GBK"/>
          <w:b w:val="0"/>
          <w:bCs w:val="0"/>
          <w:color w:val="000000"/>
          <w:sz w:val="32"/>
          <w:szCs w:val="32"/>
          <w:u w:val="none" w:color="auto"/>
          <w:lang w:val="en-US" w:eastAsia="zh-CN"/>
        </w:rPr>
        <w:t xml:space="preserve">    三、</w:t>
      </w:r>
      <w:r>
        <w:rPr>
          <w:rFonts w:hint="eastAsia" w:ascii="黑体" w:hAnsi="黑体" w:eastAsia="黑体" w:cs="黑体"/>
          <w:color w:val="000000" w:themeColor="text1"/>
          <w:sz w:val="32"/>
          <w:szCs w:val="32"/>
          <w:lang w:eastAsia="zh-CN"/>
          <w14:textFill>
            <w14:solidFill>
              <w14:schemeClr w14:val="tx1"/>
            </w14:solidFill>
          </w14:textFill>
        </w:rPr>
        <w:t>举办各类活动，拓宽我市产品销售渠道</w:t>
      </w:r>
    </w:p>
    <w:p>
      <w:pPr>
        <w:keepNext w:val="0"/>
        <w:keepLines w:val="0"/>
        <w:pageBreakBefore w:val="0"/>
        <w:widowControl w:val="0"/>
        <w:numPr>
          <w:ilvl w:val="0"/>
          <w:numId w:val="0"/>
        </w:numPr>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围绕提升</w:t>
      </w:r>
      <w:r>
        <w:rPr>
          <w:rFonts w:hint="eastAsia" w:ascii="仿宋_GB2312" w:hAnsi="仿宋_GB2312" w:eastAsia="仿宋_GB2312" w:cs="仿宋_GB2312"/>
          <w:color w:val="000000" w:themeColor="text1"/>
          <w:sz w:val="32"/>
          <w:szCs w:val="32"/>
          <w14:textFill>
            <w14:solidFill>
              <w14:schemeClr w14:val="tx1"/>
            </w14:solidFill>
          </w14:textFill>
        </w:rPr>
        <w:t>电商产业园</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功能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推动7个旗县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电商</w:t>
      </w:r>
      <w:r>
        <w:rPr>
          <w:rFonts w:hint="eastAsia" w:ascii="仿宋_GB2312" w:hAnsi="仿宋_GB2312" w:eastAsia="仿宋_GB2312" w:cs="仿宋_GB2312"/>
          <w:color w:val="000000" w:themeColor="text1"/>
          <w:sz w:val="32"/>
          <w:szCs w:val="32"/>
          <w:lang w:eastAsia="zh-CN"/>
          <w14:textFill>
            <w14:solidFill>
              <w14:schemeClr w14:val="tx1"/>
            </w14:solidFill>
          </w14:textFill>
        </w:rPr>
        <w:t>产业</w:t>
      </w:r>
      <w:r>
        <w:rPr>
          <w:rFonts w:hint="eastAsia" w:ascii="仿宋_GB2312" w:hAnsi="仿宋_GB2312" w:eastAsia="仿宋_GB2312" w:cs="仿宋_GB2312"/>
          <w:color w:val="000000" w:themeColor="text1"/>
          <w:sz w:val="32"/>
          <w:szCs w:val="32"/>
          <w14:textFill>
            <w14:solidFill>
              <w14:schemeClr w14:val="tx1"/>
            </w14:solidFill>
          </w14:textFill>
        </w:rPr>
        <w:t>园</w:t>
      </w:r>
      <w:r>
        <w:rPr>
          <w:rFonts w:hint="eastAsia" w:ascii="仿宋_GB2312" w:hAnsi="仿宋_GB2312" w:eastAsia="仿宋_GB2312" w:cs="仿宋_GB2312"/>
          <w:color w:val="000000" w:themeColor="text1"/>
          <w:sz w:val="32"/>
          <w:szCs w:val="32"/>
          <w:lang w:eastAsia="zh-CN"/>
          <w14:textFill>
            <w14:solidFill>
              <w14:schemeClr w14:val="tx1"/>
            </w14:solidFill>
          </w14:textFill>
        </w:rPr>
        <w:t>全部</w:t>
      </w:r>
      <w:r>
        <w:rPr>
          <w:rFonts w:hint="eastAsia" w:ascii="仿宋_GB2312" w:hAnsi="仿宋_GB2312" w:eastAsia="仿宋_GB2312" w:cs="仿宋_GB2312"/>
          <w:color w:val="000000" w:themeColor="text1"/>
          <w:sz w:val="32"/>
          <w:szCs w:val="32"/>
          <w14:textFill>
            <w14:solidFill>
              <w14:schemeClr w14:val="tx1"/>
            </w14:solidFill>
          </w14:textFill>
        </w:rPr>
        <w:t>建成专业网络直播带货基地，直播带货行业快速发展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2022年商务部门组织开展了“网上年货节”、“双品网购节”、“乡村振兴、直播助农”等活动，活动在快手号、抖音号、视频号等多个平台进行同步直播，形成强大的宣传合力，有效提升了我市名特优产品的知名度和影响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2023年1月份开展了</w:t>
      </w:r>
      <w:r>
        <w:rPr>
          <w:rFonts w:hint="eastAsia" w:ascii="仿宋_GB2312" w:eastAsia="仿宋_GB2312" w:cs="仿宋_GB2312"/>
          <w:color w:val="000000" w:themeColor="text1"/>
          <w:spacing w:val="0"/>
          <w:sz w:val="32"/>
          <w:szCs w:val="32"/>
          <w:highlight w:val="none"/>
          <w:lang w:val="en-US" w:eastAsia="zh-CN" w:bidi="ar-SA"/>
          <w14:textFill>
            <w14:solidFill>
              <w14:schemeClr w14:val="tx1"/>
            </w14:solidFill>
          </w14:textFill>
        </w:rPr>
        <w:t>“巴彦淖尔市网上年货节”活动，</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全市共组织了近200个商家，</w:t>
      </w:r>
      <w:r>
        <w:rPr>
          <w:rFonts w:hint="eastAsia" w:ascii="仿宋_GB2312" w:eastAsia="仿宋_GB2312" w:cs="仿宋_GB2312"/>
          <w:color w:val="000000" w:themeColor="text1"/>
          <w:spacing w:val="0"/>
          <w:sz w:val="32"/>
          <w:szCs w:val="32"/>
          <w:highlight w:val="none"/>
          <w:lang w:val="en-US" w:eastAsia="zh-CN" w:bidi="ar-SA"/>
          <w14:textFill>
            <w14:solidFill>
              <w14:schemeClr w14:val="tx1"/>
            </w14:solidFill>
          </w14:textFill>
        </w:rPr>
        <w:t>活动期间</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共销售各类产品37.3万单，实现销售额3195万元。2023年4月28日-5月12日期间开展了“双品网购节”活动，活动期间全市参与企业共销售各类产品10.6万余单，实现销售额1100余万元。</w:t>
      </w:r>
    </w:p>
    <w:p>
      <w:pPr>
        <w:keepNext w:val="0"/>
        <w:keepLines w:val="0"/>
        <w:pageBreakBefore w:val="0"/>
        <w:widowControl w:val="0"/>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000000"/>
          <w:sz w:val="32"/>
          <w:szCs w:val="32"/>
          <w:u w:val="none" w:color="auto"/>
          <w:lang w:val="en-US" w:eastAsia="zh-CN"/>
        </w:rPr>
      </w:pPr>
      <w:r>
        <w:rPr>
          <w:rFonts w:hint="eastAsia" w:ascii="方正黑体_GBK" w:hAnsi="方正黑体_GBK" w:eastAsia="方正黑体_GBK" w:cs="方正黑体_GBK"/>
          <w:b w:val="0"/>
          <w:bCs w:val="0"/>
          <w:color w:val="000000"/>
          <w:sz w:val="32"/>
          <w:szCs w:val="32"/>
          <w:u w:val="none" w:color="auto"/>
          <w:lang w:val="en-US" w:eastAsia="zh-CN"/>
        </w:rPr>
        <w:t>四、推动本土电商企业及品牌培育</w:t>
      </w:r>
    </w:p>
    <w:p>
      <w:pPr>
        <w:keepNext w:val="0"/>
        <w:keepLines w:val="0"/>
        <w:pageBreakBefore w:val="0"/>
        <w:widowControl w:val="0"/>
        <w:numPr>
          <w:ilvl w:val="0"/>
          <w:numId w:val="0"/>
        </w:numPr>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加强本土电商企业培育，大力支持传统企业运用电子商务转型升级促进线上线下融合发展。</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b w:val="0"/>
          <w:bCs w:val="0"/>
          <w:kern w:val="0"/>
          <w:sz w:val="32"/>
          <w:szCs w:val="32"/>
          <w:lang w:val="en-US" w:eastAsia="zh-CN" w:bidi="ar"/>
        </w:rPr>
        <w:t>大力</w:t>
      </w:r>
      <w:r>
        <w:rPr>
          <w:rFonts w:hint="eastAsia" w:ascii="仿宋_GB2312" w:hAnsi="仿宋_GB2312" w:eastAsia="仿宋_GB2312" w:cs="仿宋_GB2312"/>
          <w:kern w:val="0"/>
          <w:sz w:val="32"/>
          <w:szCs w:val="32"/>
          <w:lang w:val="en-US" w:eastAsia="zh-CN" w:bidi="ar"/>
        </w:rPr>
        <w:t>培育</w:t>
      </w:r>
      <w:r>
        <w:rPr>
          <w:rFonts w:hint="eastAsia" w:ascii="仿宋_GB2312" w:hAnsi="仿宋_GB2312" w:eastAsia="仿宋_GB2312" w:cs="仿宋_GB2312"/>
          <w:b w:val="0"/>
          <w:bCs w:val="0"/>
          <w:color w:val="000000"/>
          <w:sz w:val="32"/>
          <w:szCs w:val="32"/>
          <w:lang w:val="en-US" w:eastAsia="zh-CN"/>
        </w:rPr>
        <w:t>电商龙头企业。推动</w:t>
      </w:r>
      <w:r>
        <w:rPr>
          <w:rStyle w:val="5"/>
          <w:rFonts w:hint="eastAsia" w:ascii="仿宋_GB2312" w:hAnsi="仿宋_GB2312" w:eastAsia="仿宋_GB2312" w:cs="仿宋_GB2312"/>
          <w:b w:val="0"/>
          <w:bCs w:val="0"/>
          <w:color w:val="auto"/>
          <w:sz w:val="32"/>
          <w:szCs w:val="32"/>
          <w:lang w:val="en-US" w:eastAsia="zh-CN"/>
        </w:rPr>
        <w:t>圣牧高科</w:t>
      </w:r>
      <w:r>
        <w:rPr>
          <w:rStyle w:val="5"/>
          <w:rFonts w:hint="eastAsia" w:ascii="仿宋_GB2312" w:hAnsi="仿宋_GB2312" w:eastAsia="仿宋_GB2312" w:cs="仿宋_GB2312"/>
          <w:b w:val="0"/>
          <w:color w:val="auto"/>
          <w:sz w:val="32"/>
          <w:szCs w:val="32"/>
          <w:lang w:val="en-US" w:eastAsia="zh-CN"/>
        </w:rPr>
        <w:t>有机纯牛奶、酸</w:t>
      </w:r>
      <w:r>
        <w:rPr>
          <w:rStyle w:val="5"/>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牛奶、儿童奶和脱脂奶四大品类12个单品实现网上销售，2022年实现网上</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交易额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3.14亿元，2023年1-4月份</w:t>
      </w:r>
      <w:r>
        <w:rPr>
          <w:rStyle w:val="5"/>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实现网上</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交易额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1.3亿元；</w:t>
      </w:r>
      <w:r>
        <w:rPr>
          <w:rStyle w:val="5"/>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草原宏宝公司2022年实现</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网上交易额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5899万元，2023年1-4月份，</w:t>
      </w:r>
      <w:r>
        <w:rPr>
          <w:rStyle w:val="5"/>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实现</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网上交易额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1054万元。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积极</w:t>
      </w:r>
      <w:r>
        <w:rPr>
          <w:rFonts w:hint="eastAsia" w:ascii="仿宋_GB2312" w:hAnsi="仿宋_GB2312" w:eastAsia="仿宋_GB2312" w:cs="仿宋_GB2312"/>
          <w:kern w:val="0"/>
          <w:sz w:val="32"/>
          <w:szCs w:val="32"/>
          <w:lang w:val="en-US" w:eastAsia="zh-CN" w:bidi="ar"/>
        </w:rPr>
        <w:t>培育小微电商企业、网店、微商，实施“公共品牌+自有品牌”农产品双品牌战略，提升农产品附加值。推动</w:t>
      </w:r>
      <w:r>
        <w:rPr>
          <w:rFonts w:hint="eastAsia" w:ascii="仿宋_GB2312" w:hAnsi="仿宋_GB2312" w:eastAsia="仿宋_GB2312" w:cs="仿宋_GB2312"/>
          <w:kern w:val="2"/>
          <w:sz w:val="32"/>
          <w:szCs w:val="32"/>
          <w:lang w:val="en-US" w:eastAsia="zh-CN" w:bidi="ar-SA"/>
        </w:rPr>
        <w:t>创新孵化“</w:t>
      </w:r>
      <w:r>
        <w:rPr>
          <w:rFonts w:hint="eastAsia" w:ascii="仿宋_GB2312" w:hAnsi="仿宋_GB2312" w:eastAsia="仿宋_GB2312" w:cs="仿宋_GB2312"/>
          <w:color w:val="000000"/>
          <w:sz w:val="32"/>
          <w:szCs w:val="32"/>
          <w:lang w:val="en-US" w:eastAsia="zh-CN"/>
        </w:rPr>
        <w:t>草原宏宝、金草原、和兴利、</w:t>
      </w:r>
      <w:r>
        <w:rPr>
          <w:rFonts w:hint="eastAsia" w:ascii="仿宋_GB2312" w:hAnsi="仿宋_GB2312" w:eastAsia="仿宋_GB2312" w:cs="仿宋_GB2312"/>
          <w:kern w:val="2"/>
          <w:sz w:val="32"/>
          <w:szCs w:val="32"/>
          <w:lang w:val="en-US" w:eastAsia="zh-CN" w:bidi="ar-SA"/>
        </w:rPr>
        <w:t>玉米加农炮、胖农瓜子、</w:t>
      </w:r>
      <w:r>
        <w:rPr>
          <w:rFonts w:hint="eastAsia" w:ascii="仿宋_GB2312" w:hAnsi="仿宋_GB2312" w:eastAsia="仿宋_GB2312" w:cs="仿宋_GB2312"/>
          <w:color w:val="000000"/>
          <w:sz w:val="32"/>
          <w:szCs w:val="32"/>
          <w:lang w:val="en-US" w:eastAsia="zh-CN"/>
        </w:rPr>
        <w:t>魏记大碗羊肉、三胖蛋</w:t>
      </w:r>
      <w:r>
        <w:rPr>
          <w:rFonts w:hint="eastAsia" w:ascii="仿宋_GB2312" w:hAnsi="仿宋_GB2312" w:eastAsia="仿宋_GB2312" w:cs="仿宋_GB2312"/>
          <w:kern w:val="2"/>
          <w:sz w:val="32"/>
          <w:szCs w:val="32"/>
          <w:lang w:val="en-US" w:eastAsia="zh-CN" w:bidi="ar-SA"/>
        </w:rPr>
        <w:t>”等40多个互联网畅销品牌。</w:t>
      </w:r>
    </w:p>
    <w:p>
      <w:pPr>
        <w:keepNext w:val="0"/>
        <w:keepLines w:val="0"/>
        <w:pageBreakBefore w:val="0"/>
        <w:widowControl w:val="0"/>
        <w:numPr>
          <w:ilvl w:val="0"/>
          <w:numId w:val="0"/>
        </w:numPr>
        <w:pBdr>
          <w:bottom w:val="single" w:color="FFFFFF" w:sz="4" w:space="31"/>
        </w:pBdr>
        <w:tabs>
          <w:tab w:val="left" w:pos="2700"/>
          <w:tab w:val="left" w:pos="2996"/>
          <w:tab w:val="left" w:pos="7545"/>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sz w:val="32"/>
          <w:szCs w:val="32"/>
          <w:u w:val="none" w:color="auto"/>
          <w:lang w:val="en-US" w:eastAsia="zh-CN"/>
        </w:rPr>
        <w:t>五、提升公共服务水平，激发网络经营者创业创新活力。</w:t>
      </w:r>
      <w:r>
        <w:rPr>
          <w:rFonts w:hint="eastAsia" w:ascii="仿宋_GB2312" w:hAnsi="仿宋_GB2312" w:eastAsia="仿宋_GB2312" w:cs="仿宋_GB2312"/>
          <w:b/>
          <w:bCs/>
          <w:color w:val="000000"/>
          <w:sz w:val="32"/>
          <w:szCs w:val="32"/>
          <w:u w:val="none" w:color="auto"/>
          <w:lang w:val="en-US" w:eastAsia="zh-CN"/>
        </w:rPr>
        <w:t>一是</w:t>
      </w:r>
      <w:r>
        <w:rPr>
          <w:rFonts w:hint="eastAsia" w:ascii="仿宋_GB2312" w:hAnsi="仿宋_GB2312" w:eastAsia="仿宋_GB2312" w:cs="仿宋_GB2312"/>
          <w:sz w:val="32"/>
          <w:szCs w:val="32"/>
          <w:lang w:eastAsia="zh-CN"/>
        </w:rPr>
        <w:t>各旗县区电商园区制定减免房租、水电费、提供公共服务等各项优惠政策，减轻企业负担，吸引企业入驻</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开展电子商务技能培训工作，近年来商务部门依托各电商园区重点对园区入驻企业和个体、返乡创业人员、失业人员、农村牧区电商服务网点负责人等相关人员，采取“理论学习+实战演练”相结合的方式，围绕直播间设计与建设、直播能力及带货技巧、短视频拍摄和直播演练、直播话术演练等电子商务知识和技能进行培训，大大稳定和增加了相关人员的就业技能。</w:t>
      </w:r>
      <w:r>
        <w:rPr>
          <w:rFonts w:hint="eastAsia" w:ascii="仿宋_GB2312" w:hAnsi="仿宋_GB2312" w:eastAsia="仿宋_GB2312" w:cs="仿宋_GB2312"/>
          <w:color w:val="auto"/>
          <w:kern w:val="2"/>
          <w:sz w:val="32"/>
          <w:szCs w:val="32"/>
          <w:lang w:val="en-US" w:eastAsia="zh-CN" w:bidi="ar-SA"/>
        </w:rPr>
        <w:t>2022年累计开展各类电商培训班88期，培训电子商务应用型人才6842人次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，2023年1-4月份，开展各类电商培训班36期，培训电子商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务应用型人才2006人次。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巴彦淖尔市商务局</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签发人：乌德木</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承办人：陈宏</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话：8922609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FFD7EB"/>
    <w:rsid w:val="3F3BB9F9"/>
    <w:rsid w:val="4A1947CF"/>
    <w:rsid w:val="54FFFABC"/>
    <w:rsid w:val="5DDC55B0"/>
    <w:rsid w:val="5DDDC3A6"/>
    <w:rsid w:val="65FE998F"/>
    <w:rsid w:val="6FFEAA7E"/>
    <w:rsid w:val="77FFD5A1"/>
    <w:rsid w:val="79753987"/>
    <w:rsid w:val="7EFEE4C8"/>
    <w:rsid w:val="7FD625A4"/>
    <w:rsid w:val="DFDD9F40"/>
    <w:rsid w:val="EB850D6F"/>
    <w:rsid w:val="EBEFF175"/>
    <w:rsid w:val="F59F3069"/>
    <w:rsid w:val="FB6728D0"/>
    <w:rsid w:val="FC6FCD03"/>
    <w:rsid w:val="FFEDB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user</cp:lastModifiedBy>
  <dcterms:modified xsi:type="dcterms:W3CDTF">2023-06-25T16:40:46Z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