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方正小标宋简体"/>
          <w:sz w:val="32"/>
          <w:szCs w:val="32"/>
          <w:lang w:eastAsia="zh-CN"/>
        </w:rPr>
      </w:pPr>
      <w:r>
        <w:rPr>
          <w:rFonts w:hint="eastAsia" w:ascii="方正小标宋简体" w:hAnsi="Times New Roman" w:eastAsia="方正小标宋简体"/>
          <w:sz w:val="44"/>
          <w:szCs w:val="44"/>
        </w:rPr>
        <w:t>关于</w:t>
      </w:r>
      <w:r>
        <w:rPr>
          <w:rFonts w:hint="eastAsia" w:ascii="方正小标宋简体" w:hAnsi="Times New Roman" w:eastAsia="方正小标宋简体"/>
          <w:sz w:val="44"/>
          <w:szCs w:val="44"/>
          <w:lang w:eastAsia="zh-CN"/>
        </w:rPr>
        <w:t>对市政协五届二次</w:t>
      </w:r>
      <w:r>
        <w:rPr>
          <w:rFonts w:hint="eastAsia" w:ascii="方正小标宋简体" w:hAnsi="Times New Roman" w:eastAsia="方正小标宋简体"/>
          <w:sz w:val="44"/>
          <w:szCs w:val="44"/>
          <w:lang w:val="en-US" w:eastAsia="zh-CN"/>
        </w:rPr>
        <w:t>会议第12号</w:t>
      </w:r>
      <w:r>
        <w:rPr>
          <w:rFonts w:hint="eastAsia" w:ascii="方正小标宋简体" w:hAnsi="Times New Roman" w:eastAsia="方正小标宋简体"/>
          <w:sz w:val="44"/>
          <w:szCs w:val="44"/>
        </w:rPr>
        <w:t>提案的</w:t>
      </w:r>
      <w:r>
        <w:rPr>
          <w:rFonts w:hint="eastAsia" w:ascii="方正小标宋简体" w:hAnsi="Times New Roman" w:eastAsia="方正小标宋简体"/>
          <w:sz w:val="44"/>
          <w:szCs w:val="44"/>
          <w:lang w:eastAsia="zh-CN"/>
        </w:rPr>
        <w:t>答复</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ascii="仿宋" w:hAnsi="仿宋" w:eastAsia="仿宋"/>
          <w:sz w:val="32"/>
          <w:szCs w:val="32"/>
        </w:rPr>
      </w:pP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赵磊</w:t>
      </w:r>
      <w:r>
        <w:rPr>
          <w:rFonts w:hint="eastAsia" w:ascii="仿宋_GB2312" w:hAnsi="仿宋_GB2312" w:eastAsia="仿宋_GB2312" w:cs="仿宋_GB2312"/>
          <w:sz w:val="32"/>
          <w:szCs w:val="32"/>
        </w:rPr>
        <w:t>委员</w:t>
      </w:r>
      <w:r>
        <w:rPr>
          <w:rFonts w:hint="eastAsia" w:ascii="仿宋_GB2312" w:hAnsi="仿宋_GB2312" w:eastAsia="仿宋_GB2312" w:cs="仿宋_GB2312"/>
          <w:sz w:val="32"/>
          <w:szCs w:val="32"/>
          <w:lang w:eastAsia="zh-CN"/>
        </w:rPr>
        <w:t>（工商联）</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firstLine="645"/>
        <w:textAlignment w:val="auto"/>
        <w:rPr>
          <w:rFonts w:hint="eastAsia" w:ascii="仿宋_GB2312" w:hAnsi="仿宋_GB2312" w:eastAsia="仿宋_GB2312" w:cs="仿宋_GB2312"/>
        </w:rPr>
      </w:pPr>
      <w:r>
        <w:rPr>
          <w:rFonts w:hint="eastAsia" w:ascii="仿宋_GB2312" w:hAnsi="仿宋_GB2312" w:eastAsia="仿宋_GB2312" w:cs="仿宋_GB2312"/>
          <w:sz w:val="32"/>
          <w:szCs w:val="32"/>
          <w:lang w:eastAsia="zh-CN"/>
        </w:rPr>
        <w:t>您</w:t>
      </w:r>
      <w:r>
        <w:rPr>
          <w:rFonts w:hint="eastAsia" w:ascii="仿宋_GB2312" w:hAnsi="仿宋_GB2312" w:eastAsia="仿宋_GB2312" w:cs="仿宋_GB2312"/>
          <w:sz w:val="32"/>
          <w:szCs w:val="32"/>
        </w:rPr>
        <w:t>提出的《</w:t>
      </w:r>
      <w:r>
        <w:rPr>
          <w:rFonts w:hint="eastAsia" w:ascii="仿宋_GB2312" w:hAnsi="仿宋_GB2312" w:eastAsia="仿宋_GB2312" w:cs="仿宋_GB2312"/>
          <w:sz w:val="32"/>
          <w:szCs w:val="32"/>
          <w:lang w:eastAsia="zh-CN"/>
        </w:rPr>
        <w:t>关于促进我市农畜产品电商直播产业</w:t>
      </w:r>
      <w:r>
        <w:rPr>
          <w:rFonts w:hint="eastAsia" w:ascii="仿宋_GB2312" w:hAnsi="仿宋_GB2312" w:eastAsia="仿宋_GB2312" w:cs="仿宋_GB2312"/>
          <w:sz w:val="32"/>
          <w:szCs w:val="32"/>
        </w:rPr>
        <w:t>的提案》收悉，</w:t>
      </w:r>
      <w:r>
        <w:rPr>
          <w:rFonts w:hint="eastAsia" w:ascii="仿宋_GB2312" w:hAnsi="仿宋_GB2312" w:eastAsia="仿宋_GB2312" w:cs="仿宋_GB2312"/>
          <w:sz w:val="32"/>
          <w:szCs w:val="32"/>
          <w:lang w:eastAsia="zh-CN"/>
        </w:rPr>
        <w:t>现</w:t>
      </w:r>
      <w:r>
        <w:rPr>
          <w:rFonts w:hint="eastAsia" w:ascii="仿宋_GB2312" w:hAnsi="仿宋_GB2312" w:eastAsia="仿宋_GB2312" w:cs="仿宋_GB2312"/>
          <w:sz w:val="32"/>
          <w:szCs w:val="32"/>
        </w:rPr>
        <w:t>如下答复：</w:t>
      </w:r>
    </w:p>
    <w:p>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eastAsia" w:ascii="方正黑体_GBK" w:hAnsi="方正黑体_GBK" w:eastAsia="方正黑体_GBK" w:cs="方正黑体_GBK"/>
          <w:b w:val="0"/>
          <w:bCs w:val="0"/>
          <w:color w:val="000000"/>
          <w:sz w:val="32"/>
          <w:szCs w:val="32"/>
          <w:u w:val="none" w:color="auto"/>
          <w:lang w:val="en-US" w:eastAsia="zh-CN"/>
        </w:rPr>
      </w:pPr>
      <w:r>
        <w:rPr>
          <w:rFonts w:hint="eastAsia" w:ascii="方正黑体_GBK" w:hAnsi="方正黑体_GBK" w:eastAsia="方正黑体_GBK" w:cs="方正黑体_GBK"/>
          <w:b w:val="0"/>
          <w:bCs w:val="0"/>
          <w:color w:val="000000"/>
          <w:sz w:val="32"/>
          <w:szCs w:val="32"/>
          <w:u w:val="none" w:color="auto"/>
          <w:lang w:val="en-US" w:eastAsia="zh-CN"/>
        </w:rPr>
        <w:t>一、科学制定相关政策，推动电子商务快速发展</w:t>
      </w:r>
    </w:p>
    <w:p>
      <w:pPr>
        <w:keepNext w:val="0"/>
        <w:keepLines w:val="0"/>
        <w:pageBreakBefore w:val="0"/>
        <w:widowControl w:val="0"/>
        <w:numPr>
          <w:ilvl w:val="0"/>
          <w:numId w:val="0"/>
        </w:numPr>
        <w:pBdr>
          <w:bottom w:val="single" w:color="FFFFFF" w:sz="4" w:space="31"/>
        </w:pBdr>
        <w:tabs>
          <w:tab w:val="left" w:pos="2700"/>
          <w:tab w:val="left" w:pos="2996"/>
          <w:tab w:val="left" w:pos="7545"/>
        </w:tabs>
        <w:kinsoku/>
        <w:wordWrap/>
        <w:overflowPunct/>
        <w:topLinePunct w:val="0"/>
        <w:autoSpaceDE/>
        <w:autoSpaceDN/>
        <w:bidi w:val="0"/>
        <w:adjustRightInd/>
        <w:snapToGrid/>
        <w:spacing w:line="58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近年来，我市坚持把发展电子商务作为</w:t>
      </w:r>
      <w:r>
        <w:rPr>
          <w:rFonts w:hint="eastAsia" w:ascii="仿宋_GB2312" w:hAnsi="仿宋_GB2312" w:eastAsia="仿宋_GB2312" w:cs="仿宋_GB2312"/>
          <w:sz w:val="32"/>
          <w:szCs w:val="32"/>
          <w:lang w:val="en-US" w:eastAsia="zh-CN"/>
        </w:rPr>
        <w:t>国家网络市场监管与服务示范区创建的</w:t>
      </w:r>
      <w:r>
        <w:rPr>
          <w:rFonts w:hint="eastAsia" w:ascii="仿宋_GB2312" w:hAnsi="仿宋_GB2312" w:eastAsia="仿宋_GB2312" w:cs="仿宋_GB2312"/>
          <w:sz w:val="32"/>
          <w:szCs w:val="32"/>
        </w:rPr>
        <w:t>重要举措来抓，</w:t>
      </w:r>
      <w:r>
        <w:rPr>
          <w:rFonts w:hint="eastAsia" w:ascii="仿宋_GB2312" w:hAnsi="仿宋_GB2312" w:eastAsia="仿宋_GB2312" w:cs="仿宋_GB2312"/>
          <w:b/>
          <w:bCs/>
          <w:sz w:val="32"/>
          <w:szCs w:val="32"/>
          <w:lang w:eastAsia="zh-CN"/>
        </w:rPr>
        <w:t>一是</w:t>
      </w:r>
      <w:r>
        <w:rPr>
          <w:rFonts w:hint="eastAsia" w:ascii="仿宋_GB2312" w:hAnsi="仿宋_GB2312" w:eastAsia="仿宋_GB2312" w:cs="仿宋_GB2312"/>
          <w:b w:val="0"/>
          <w:bCs w:val="0"/>
          <w:sz w:val="32"/>
          <w:szCs w:val="32"/>
          <w:lang w:eastAsia="zh-CN"/>
        </w:rPr>
        <w:t>在</w:t>
      </w:r>
      <w:r>
        <w:rPr>
          <w:rFonts w:hint="eastAsia" w:ascii="仿宋_GB2312" w:hAnsi="仿宋_GB2312" w:eastAsia="仿宋_GB2312" w:cs="仿宋_GB2312"/>
          <w:sz w:val="32"/>
          <w:szCs w:val="32"/>
          <w:lang w:val="en-US" w:eastAsia="zh-CN"/>
        </w:rPr>
        <w:t>《2022年巴彦淖尔市“稳中求进”高质量发展政策清单》中</w:t>
      </w:r>
      <w:r>
        <w:rPr>
          <w:rFonts w:hint="eastAsia" w:ascii="仿宋_GB2312" w:hAnsi="仿宋_GB2312" w:eastAsia="仿宋_GB2312" w:cs="仿宋_GB2312"/>
          <w:kern w:val="2"/>
          <w:sz w:val="32"/>
          <w:szCs w:val="32"/>
          <w:lang w:val="en-US" w:eastAsia="zh-CN" w:bidi="ar-SA"/>
        </w:rPr>
        <w:t>制定了2项</w:t>
      </w:r>
      <w:r>
        <w:rPr>
          <w:rFonts w:hint="eastAsia" w:ascii="仿宋_GB2312" w:hAnsi="仿宋_GB2312" w:eastAsia="仿宋_GB2312" w:cs="仿宋_GB2312"/>
          <w:sz w:val="32"/>
          <w:szCs w:val="32"/>
          <w:lang w:val="en-US" w:eastAsia="zh-CN"/>
        </w:rPr>
        <w:t>促进电子商务发展的政策措施，对电子商务年交易额达到5000万元及以上的企业给予3-5万元奖励，对年内进行电子商务知识、技能等培训达1000人次以上的电子商务产业园给予5万元奖励，2022年已对符合条件的4家企业，5个电商园区进行奖励。</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sz w:val="32"/>
          <w:szCs w:val="32"/>
          <w:lang w:val="en-US" w:eastAsia="zh-CN"/>
        </w:rPr>
        <w:t>在《巴彦淖尔市2023年坚持稳中快进稳中优进推动产业高质量发展政策清单》制定了1项促进电子商务发展的措施，</w:t>
      </w:r>
      <w:r>
        <w:rPr>
          <w:rFonts w:hint="eastAsia" w:ascii="仿宋_GB2312" w:hAnsi="仿宋_GB2312" w:eastAsia="仿宋_GB2312" w:cs="仿宋_GB2312"/>
          <w:i w:val="0"/>
          <w:color w:val="000000" w:themeColor="text1"/>
          <w:kern w:val="0"/>
          <w:sz w:val="32"/>
          <w:szCs w:val="32"/>
          <w:u w:val="none"/>
          <w:lang w:val="en-US" w:eastAsia="zh-CN" w:bidi="ar"/>
          <w14:textFill>
            <w14:solidFill>
              <w14:schemeClr w14:val="tx1"/>
            </w14:solidFill>
          </w14:textFill>
        </w:rPr>
        <w:t>鼓励企业针对河套地域特色优势产业、特色商品进行电商化改造，培育“小而美”“小而精”“小而优”网络品牌，拓展线上营销渠道。支持具备条件的旗县区利用现有基础开展电子商务共享云仓试点示范工作，降低电子商务企业综合运营成本，带动小型电商企业发展，对成功申报电子商务共享云仓试点示范目和优势产业电商化改造的项目，利用自治区专项资金分别给予200万元和300万元支持。</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三是</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市政府印发了《巴彦淖尔市“快递进村”补贴实施方案》，《方案》明确了补贴范围、申报程序，并明确由各旗县区人民政府对实施快递进村（嘎查）项目的企业按照每单不超过0.3元实施补贴，推进快递服务延伸，助力优化城乡双向物流结构，进一步激发农村市场潜力。目前，全市7个旗县区申报“快递进村”补贴的企业共15家，合计申报补贴金额1138777元。</w:t>
      </w:r>
      <w:r>
        <w:rPr>
          <w:rFonts w:hint="eastAsia" w:ascii="仿宋_GB2312" w:hAnsi="仿宋_GB2312" w:eastAsia="仿宋_GB2312" w:cs="仿宋_GB2312"/>
          <w:b/>
          <w:bCs/>
          <w:i w:val="0"/>
          <w:color w:val="000000" w:themeColor="text1"/>
          <w:kern w:val="0"/>
          <w:sz w:val="32"/>
          <w:szCs w:val="32"/>
          <w:u w:val="none"/>
          <w:lang w:val="en-US" w:eastAsia="zh-CN" w:bidi="ar"/>
          <w14:textFill>
            <w14:solidFill>
              <w14:schemeClr w14:val="tx1"/>
            </w14:solidFill>
          </w14:textFill>
        </w:rPr>
        <w:t>四是</w:t>
      </w:r>
      <w:r>
        <w:rPr>
          <w:rFonts w:hint="eastAsia" w:ascii="仿宋_GB2312" w:hAnsi="仿宋_GB2312" w:eastAsia="仿宋_GB2312" w:cs="仿宋_GB2312"/>
          <w:sz w:val="32"/>
          <w:szCs w:val="32"/>
          <w:lang w:val="en-US" w:eastAsia="zh-CN"/>
        </w:rPr>
        <w:t>制定了《五原县农村电商农产品体系建设方案》，相继与50家电商企业与商户展开品牌孵化合作，设计了25款农产品包装，印制农特产品包装50万个。开发10款农特产品，相继上市销售。蜜瓜、玉米、黄柿子销量可观，年均销售分别600万、800万、400万元。</w:t>
      </w:r>
    </w:p>
    <w:p>
      <w:pPr>
        <w:keepNext w:val="0"/>
        <w:keepLines w:val="0"/>
        <w:pageBreakBefore w:val="0"/>
        <w:widowControl w:val="0"/>
        <w:numPr>
          <w:ilvl w:val="0"/>
          <w:numId w:val="0"/>
        </w:numPr>
        <w:pBdr>
          <w:bottom w:val="single" w:color="FFFFFF" w:sz="4" w:space="31"/>
        </w:pBdr>
        <w:tabs>
          <w:tab w:val="left" w:pos="2700"/>
          <w:tab w:val="left" w:pos="2996"/>
          <w:tab w:val="left" w:pos="7545"/>
        </w:tabs>
        <w:kinsoku/>
        <w:wordWrap/>
        <w:overflowPunct/>
        <w:topLinePunct w:val="0"/>
        <w:autoSpaceDE/>
        <w:autoSpaceDN/>
        <w:bidi w:val="0"/>
        <w:adjustRightInd/>
        <w:snapToGrid/>
        <w:spacing w:line="580" w:lineRule="exact"/>
        <w:ind w:firstLine="640"/>
        <w:textAlignment w:val="auto"/>
        <w:rPr>
          <w:rFonts w:hint="eastAsia" w:ascii="方正黑体_GBK" w:hAnsi="方正黑体_GBK" w:eastAsia="方正黑体_GBK" w:cs="方正黑体_GBK"/>
          <w:b w:val="0"/>
          <w:bCs w:val="0"/>
          <w:color w:val="000000"/>
          <w:sz w:val="32"/>
          <w:szCs w:val="32"/>
          <w:u w:val="none" w:color="auto"/>
          <w:lang w:val="en-US" w:eastAsia="zh-CN"/>
        </w:rPr>
      </w:pPr>
      <w:r>
        <w:rPr>
          <w:rFonts w:hint="eastAsia" w:ascii="方正黑体_GBK" w:hAnsi="方正黑体_GBK" w:eastAsia="方正黑体_GBK" w:cs="方正黑体_GBK"/>
          <w:b w:val="0"/>
          <w:bCs w:val="0"/>
          <w:color w:val="000000"/>
          <w:sz w:val="32"/>
          <w:szCs w:val="32"/>
          <w:u w:val="none" w:color="auto"/>
          <w:lang w:val="en-US" w:eastAsia="zh-CN"/>
        </w:rPr>
        <w:t>二、开展示范创建，推动电商创新融合发展</w:t>
      </w:r>
    </w:p>
    <w:p>
      <w:pPr>
        <w:keepNext w:val="0"/>
        <w:keepLines w:val="0"/>
        <w:pageBreakBefore w:val="0"/>
        <w:widowControl w:val="0"/>
        <w:numPr>
          <w:ilvl w:val="0"/>
          <w:numId w:val="0"/>
        </w:numPr>
        <w:pBdr>
          <w:bottom w:val="single" w:color="FFFFFF" w:sz="4" w:space="31"/>
        </w:pBdr>
        <w:tabs>
          <w:tab w:val="left" w:pos="2700"/>
          <w:tab w:val="left" w:pos="2996"/>
          <w:tab w:val="left" w:pos="7545"/>
        </w:tabs>
        <w:kinsoku/>
        <w:wordWrap/>
        <w:overflowPunct/>
        <w:topLinePunct w:val="0"/>
        <w:autoSpaceDE/>
        <w:autoSpaceDN/>
        <w:bidi w:val="0"/>
        <w:adjustRightInd/>
        <w:snapToGrid/>
        <w:spacing w:line="580" w:lineRule="exact"/>
        <w:ind w:firstLine="64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全力推进电子商务示范创建工作，</w:t>
      </w:r>
      <w:r>
        <w:rPr>
          <w:rFonts w:hint="eastAsia" w:ascii="仿宋_GB2312" w:hAnsi="仿宋_GB2312" w:eastAsia="仿宋_GB2312" w:cs="仿宋_GB2312"/>
          <w:color w:val="000000" w:themeColor="text1"/>
          <w:sz w:val="32"/>
          <w:szCs w:val="32"/>
          <w:lang w:eastAsia="zh-CN"/>
          <w14:textFill>
            <w14:solidFill>
              <w14:schemeClr w14:val="tx1"/>
            </w14:solidFill>
          </w14:textFill>
        </w:rPr>
        <w:t>先后获评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14:textFill>
            <w14:solidFill>
              <w14:schemeClr w14:val="tx1"/>
            </w14:solidFill>
          </w14:textFill>
        </w:rPr>
        <w:t>个国家级</w:t>
      </w:r>
      <w:r>
        <w:rPr>
          <w:rFonts w:hint="eastAsia" w:ascii="仿宋_GB2312" w:hAnsi="仿宋_GB2312" w:eastAsia="仿宋_GB2312" w:cs="仿宋_GB2312"/>
          <w:color w:val="000000" w:themeColor="text1"/>
          <w:sz w:val="32"/>
          <w:szCs w:val="32"/>
          <w:lang w:eastAsia="zh-CN"/>
          <w14:textFill>
            <w14:solidFill>
              <w14:schemeClr w14:val="tx1"/>
            </w14:solidFill>
          </w14:textFill>
        </w:rPr>
        <w:t>（五原县、乌拉特前旗、乌拉特中旗）</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14:textFill>
            <w14:solidFill>
              <w14:schemeClr w14:val="tx1"/>
            </w14:solidFill>
          </w14:textFill>
        </w:rPr>
        <w:t>个自治区级</w:t>
      </w:r>
      <w:r>
        <w:rPr>
          <w:rFonts w:hint="eastAsia" w:ascii="仿宋_GB2312" w:hAnsi="仿宋_GB2312" w:eastAsia="仿宋_GB2312" w:cs="仿宋_GB2312"/>
          <w:color w:val="000000" w:themeColor="text1"/>
          <w:sz w:val="32"/>
          <w:szCs w:val="32"/>
          <w:lang w:eastAsia="zh-CN"/>
          <w14:textFill>
            <w14:solidFill>
              <w14:schemeClr w14:val="tx1"/>
            </w14:solidFill>
          </w14:textFill>
        </w:rPr>
        <w:t>（杭锦后旗）</w:t>
      </w:r>
      <w:r>
        <w:rPr>
          <w:rFonts w:hint="eastAsia" w:ascii="仿宋_GB2312" w:hAnsi="仿宋_GB2312" w:eastAsia="仿宋_GB2312" w:cs="仿宋_GB2312"/>
          <w:color w:val="000000" w:themeColor="text1"/>
          <w:sz w:val="32"/>
          <w:szCs w:val="32"/>
          <w14:textFill>
            <w14:solidFill>
              <w14:schemeClr w14:val="tx1"/>
            </w14:solidFill>
          </w14:textFill>
        </w:rPr>
        <w:t>电子商务进农村综合示范县</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，争取上级</w:t>
      </w:r>
      <w:r>
        <w:rPr>
          <w:rFonts w:hint="eastAsia" w:ascii="仿宋_GB2312" w:hAnsi="仿宋_GB2312" w:eastAsia="仿宋_GB2312" w:cs="仿宋_GB2312"/>
          <w:color w:val="000000" w:themeColor="text1"/>
          <w:sz w:val="32"/>
          <w:szCs w:val="32"/>
          <w14:textFill>
            <w14:solidFill>
              <w14:schemeClr w14:val="tx1"/>
            </w14:solidFill>
          </w14:textFill>
        </w:rPr>
        <w:t>财政补贴资金</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6</w:t>
      </w:r>
      <w:r>
        <w:rPr>
          <w:rFonts w:hint="eastAsia" w:ascii="仿宋_GB2312" w:hAnsi="仿宋_GB2312" w:eastAsia="仿宋_GB2312" w:cs="仿宋_GB2312"/>
          <w:color w:val="000000" w:themeColor="text1"/>
          <w:sz w:val="32"/>
          <w:szCs w:val="32"/>
          <w14:textFill>
            <w14:solidFill>
              <w14:schemeClr w14:val="tx1"/>
            </w14:solidFill>
          </w14:textFill>
        </w:rPr>
        <w:t>500万元。</w:t>
      </w:r>
      <w:r>
        <w:rPr>
          <w:rFonts w:hint="eastAsia" w:ascii="仿宋_GB2312" w:hAnsi="仿宋_GB2312" w:eastAsia="仿宋_GB2312" w:cs="仿宋_GB2312"/>
          <w:color w:val="000000" w:themeColor="text1"/>
          <w:sz w:val="32"/>
          <w:szCs w:val="32"/>
          <w:lang w:eastAsia="zh-CN"/>
          <w14:textFill>
            <w14:solidFill>
              <w14:schemeClr w14:val="tx1"/>
            </w14:solidFill>
          </w14:textFill>
        </w:rPr>
        <w:t>通过项目</w:t>
      </w:r>
      <w:r>
        <w:rPr>
          <w:rFonts w:hint="eastAsia" w:ascii="仿宋_GB2312" w:hAnsi="仿宋_GB2312" w:eastAsia="仿宋_GB2312" w:cs="仿宋_GB2312"/>
          <w:color w:val="000000" w:themeColor="text1"/>
          <w:sz w:val="32"/>
          <w:szCs w:val="32"/>
          <w14:textFill>
            <w14:solidFill>
              <w14:schemeClr w14:val="tx1"/>
            </w14:solidFill>
          </w14:textFill>
        </w:rPr>
        <w:t>引领带动</w:t>
      </w:r>
      <w:r>
        <w:rPr>
          <w:rFonts w:hint="eastAsia" w:ascii="仿宋_GB2312" w:hAnsi="仿宋_GB2312" w:eastAsia="仿宋_GB2312" w:cs="仿宋_GB2312"/>
          <w:color w:val="000000" w:themeColor="text1"/>
          <w:sz w:val="32"/>
          <w:szCs w:val="32"/>
          <w:lang w:eastAsia="zh-CN"/>
          <w14:textFill>
            <w14:solidFill>
              <w14:schemeClr w14:val="tx1"/>
            </w14:solidFill>
          </w14:textFill>
        </w:rPr>
        <w:t>全市</w:t>
      </w:r>
      <w:r>
        <w:rPr>
          <w:rFonts w:hint="eastAsia" w:ascii="仿宋_GB2312" w:hAnsi="仿宋_GB2312" w:eastAsia="仿宋_GB2312" w:cs="仿宋_GB2312"/>
          <w:color w:val="000000" w:themeColor="text1"/>
          <w:sz w:val="32"/>
          <w:szCs w:val="32"/>
          <w14:textFill>
            <w14:solidFill>
              <w14:schemeClr w14:val="tx1"/>
            </w14:solidFill>
          </w14:textFill>
        </w:rPr>
        <w:t>电子商务进农村牧区</w:t>
      </w:r>
      <w:r>
        <w:rPr>
          <w:rFonts w:hint="eastAsia" w:ascii="仿宋_GB2312" w:hAnsi="仿宋_GB2312" w:eastAsia="仿宋_GB2312" w:cs="仿宋_GB2312"/>
          <w:color w:val="000000" w:themeColor="text1"/>
          <w:sz w:val="32"/>
          <w:szCs w:val="32"/>
          <w:lang w:eastAsia="zh-CN"/>
          <w14:textFill>
            <w14:solidFill>
              <w14:schemeClr w14:val="tx1"/>
            </w14:solidFill>
          </w14:textFill>
        </w:rPr>
        <w:t>工作取得积极成效</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按照既能推动农副产品销售、帮助群众脱贫致富，又能促进乡村振兴的要求，</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改造提升652个农村电商服务网点，实现了全市行政村全覆盖，</w:t>
      </w:r>
      <w:r>
        <w:rPr>
          <w:rFonts w:hint="eastAsia" w:ascii="仿宋_GB2312" w:hAnsi="仿宋_GB2312" w:eastAsia="仿宋_GB2312" w:cs="仿宋_GB2312"/>
          <w:color w:val="000000" w:themeColor="text1"/>
          <w:sz w:val="32"/>
          <w:szCs w:val="32"/>
          <w:lang w:eastAsia="zh-CN"/>
          <w14:textFill>
            <w14:solidFill>
              <w14:schemeClr w14:val="tx1"/>
            </w14:solidFill>
          </w14:textFill>
        </w:rPr>
        <w:t>基本建设形成县、乡、村三级电商快递物流网络，</w:t>
      </w:r>
      <w:r>
        <w:rPr>
          <w:rFonts w:hint="eastAsia" w:ascii="仿宋_GB2312" w:hAnsi="仿宋_GB2312" w:eastAsia="仿宋_GB2312" w:cs="仿宋_GB2312"/>
          <w:color w:val="000000" w:themeColor="text1"/>
          <w:sz w:val="32"/>
          <w:szCs w:val="32"/>
          <w14:textFill>
            <w14:solidFill>
              <w14:schemeClr w14:val="tx1"/>
            </w14:solidFill>
          </w14:textFill>
        </w:rPr>
        <w:t>助推当地的特色农畜产品，远销全国各地</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pPr>
        <w:keepNext w:val="0"/>
        <w:keepLines w:val="0"/>
        <w:pageBreakBefore w:val="0"/>
        <w:widowControl w:val="0"/>
        <w:pBdr>
          <w:bottom w:val="single" w:color="FFFFFF" w:sz="4" w:space="31"/>
        </w:pBdr>
        <w:tabs>
          <w:tab w:val="left" w:pos="2700"/>
          <w:tab w:val="left" w:pos="2996"/>
          <w:tab w:val="left" w:pos="7545"/>
        </w:tabs>
        <w:kinsoku/>
        <w:wordWrap/>
        <w:overflowPunct/>
        <w:topLinePunct w:val="0"/>
        <w:autoSpaceDE/>
        <w:autoSpaceDN/>
        <w:bidi w:val="0"/>
        <w:adjustRightInd/>
        <w:snapToGrid/>
        <w:spacing w:line="580" w:lineRule="exact"/>
        <w:textAlignment w:val="auto"/>
        <w:rPr>
          <w:rFonts w:hint="eastAsia" w:ascii="黑体" w:hAnsi="黑体" w:eastAsia="黑体" w:cs="黑体"/>
          <w:b/>
          <w:bCs/>
          <w:color w:val="000000" w:themeColor="text1"/>
          <w:sz w:val="32"/>
          <w:szCs w:val="32"/>
          <w:u w:val="none" w:color="auto"/>
          <w:lang w:val="en-US" w:eastAsia="zh-CN"/>
          <w14:textFill>
            <w14:solidFill>
              <w14:schemeClr w14:val="tx1"/>
            </w14:solidFill>
          </w14:textFill>
        </w:rPr>
      </w:pPr>
      <w:r>
        <w:rPr>
          <w:rFonts w:hint="eastAsia" w:ascii="方正黑体_GBK" w:hAnsi="方正黑体_GBK" w:eastAsia="方正黑体_GBK" w:cs="方正黑体_GBK"/>
          <w:b w:val="0"/>
          <w:bCs w:val="0"/>
          <w:color w:val="000000"/>
          <w:sz w:val="32"/>
          <w:szCs w:val="32"/>
          <w:u w:val="none" w:color="auto"/>
          <w:lang w:val="en-US" w:eastAsia="zh-CN"/>
        </w:rPr>
        <w:t xml:space="preserve">    三、</w:t>
      </w:r>
      <w:r>
        <w:rPr>
          <w:rFonts w:hint="eastAsia" w:ascii="黑体" w:hAnsi="黑体" w:eastAsia="黑体" w:cs="黑体"/>
          <w:color w:val="000000" w:themeColor="text1"/>
          <w:sz w:val="32"/>
          <w:szCs w:val="32"/>
          <w:lang w:eastAsia="zh-CN"/>
          <w14:textFill>
            <w14:solidFill>
              <w14:schemeClr w14:val="tx1"/>
            </w14:solidFill>
          </w14:textFill>
        </w:rPr>
        <w:t>举办各类活动，拓宽我市产品销售渠道</w:t>
      </w:r>
    </w:p>
    <w:p>
      <w:pPr>
        <w:keepNext w:val="0"/>
        <w:keepLines w:val="0"/>
        <w:pageBreakBefore w:val="0"/>
        <w:widowControl w:val="0"/>
        <w:numPr>
          <w:ilvl w:val="0"/>
          <w:numId w:val="0"/>
        </w:numPr>
        <w:pBdr>
          <w:bottom w:val="single" w:color="FFFFFF" w:sz="4" w:space="31"/>
        </w:pBdr>
        <w:tabs>
          <w:tab w:val="left" w:pos="2700"/>
          <w:tab w:val="left" w:pos="2996"/>
          <w:tab w:val="left" w:pos="7545"/>
        </w:tabs>
        <w:kinsoku/>
        <w:wordWrap/>
        <w:overflowPunct/>
        <w:topLinePunct w:val="0"/>
        <w:autoSpaceDE/>
        <w:autoSpaceDN/>
        <w:bidi w:val="0"/>
        <w:adjustRightInd/>
        <w:snapToGrid/>
        <w:spacing w:line="580" w:lineRule="exact"/>
        <w:ind w:firstLine="640"/>
        <w:textAlignment w:val="auto"/>
        <w:rPr>
          <w:rFonts w:hint="default"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围绕提升</w:t>
      </w:r>
      <w:r>
        <w:rPr>
          <w:rFonts w:hint="eastAsia" w:ascii="仿宋_GB2312" w:hAnsi="仿宋_GB2312" w:eastAsia="仿宋_GB2312" w:cs="仿宋_GB2312"/>
          <w:color w:val="000000" w:themeColor="text1"/>
          <w:sz w:val="32"/>
          <w:szCs w:val="32"/>
          <w14:textFill>
            <w14:solidFill>
              <w14:schemeClr w14:val="tx1"/>
            </w14:solidFill>
          </w14:textFill>
        </w:rPr>
        <w:t>电商产业园</w:t>
      </w:r>
      <w:r>
        <w:rPr>
          <w:rFonts w:hint="eastAsia" w:ascii="仿宋_GB2312" w:hAnsi="仿宋_GB2312" w:eastAsia="仿宋_GB2312" w:cs="仿宋_GB2312"/>
          <w:color w:val="000000" w:themeColor="text1"/>
          <w:sz w:val="32"/>
          <w:szCs w:val="32"/>
          <w:lang w:eastAsia="zh-CN"/>
          <w14:textFill>
            <w14:solidFill>
              <w14:schemeClr w14:val="tx1"/>
            </w14:solidFill>
          </w14:textFill>
        </w:rPr>
        <w:t>区</w:t>
      </w:r>
      <w:r>
        <w:rPr>
          <w:rFonts w:hint="eastAsia" w:ascii="仿宋_GB2312" w:hAnsi="仿宋_GB2312" w:eastAsia="仿宋_GB2312" w:cs="仿宋_GB2312"/>
          <w:color w:val="000000" w:themeColor="text1"/>
          <w:sz w:val="32"/>
          <w:szCs w:val="32"/>
          <w14:textFill>
            <w14:solidFill>
              <w14:schemeClr w14:val="tx1"/>
            </w14:solidFill>
          </w14:textFill>
        </w:rPr>
        <w:t>功能</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推动7个旗县</w:t>
      </w:r>
      <w:r>
        <w:rPr>
          <w:rFonts w:hint="eastAsia" w:ascii="仿宋_GB2312" w:hAnsi="仿宋_GB2312" w:eastAsia="仿宋_GB2312" w:cs="仿宋_GB2312"/>
          <w:color w:val="000000" w:themeColor="text1"/>
          <w:sz w:val="32"/>
          <w:szCs w:val="32"/>
          <w:lang w:eastAsia="zh-CN"/>
          <w14:textFill>
            <w14:solidFill>
              <w14:schemeClr w14:val="tx1"/>
            </w14:solidFill>
          </w14:textFill>
        </w:rPr>
        <w:t>区</w:t>
      </w:r>
      <w:r>
        <w:rPr>
          <w:rFonts w:hint="eastAsia" w:ascii="仿宋_GB2312" w:hAnsi="仿宋_GB2312" w:eastAsia="仿宋_GB2312" w:cs="仿宋_GB2312"/>
          <w:color w:val="000000" w:themeColor="text1"/>
          <w:sz w:val="32"/>
          <w:szCs w:val="32"/>
          <w14:textFill>
            <w14:solidFill>
              <w14:schemeClr w14:val="tx1"/>
            </w14:solidFill>
          </w14:textFill>
        </w:rPr>
        <w:t>电商</w:t>
      </w:r>
      <w:r>
        <w:rPr>
          <w:rFonts w:hint="eastAsia" w:ascii="仿宋_GB2312" w:hAnsi="仿宋_GB2312" w:eastAsia="仿宋_GB2312" w:cs="仿宋_GB2312"/>
          <w:color w:val="000000" w:themeColor="text1"/>
          <w:sz w:val="32"/>
          <w:szCs w:val="32"/>
          <w:lang w:eastAsia="zh-CN"/>
          <w14:textFill>
            <w14:solidFill>
              <w14:schemeClr w14:val="tx1"/>
            </w14:solidFill>
          </w14:textFill>
        </w:rPr>
        <w:t>产业</w:t>
      </w:r>
      <w:r>
        <w:rPr>
          <w:rFonts w:hint="eastAsia" w:ascii="仿宋_GB2312" w:hAnsi="仿宋_GB2312" w:eastAsia="仿宋_GB2312" w:cs="仿宋_GB2312"/>
          <w:color w:val="000000" w:themeColor="text1"/>
          <w:sz w:val="32"/>
          <w:szCs w:val="32"/>
          <w14:textFill>
            <w14:solidFill>
              <w14:schemeClr w14:val="tx1"/>
            </w14:solidFill>
          </w14:textFill>
        </w:rPr>
        <w:t>园</w:t>
      </w:r>
      <w:r>
        <w:rPr>
          <w:rFonts w:hint="eastAsia" w:ascii="仿宋_GB2312" w:hAnsi="仿宋_GB2312" w:eastAsia="仿宋_GB2312" w:cs="仿宋_GB2312"/>
          <w:color w:val="000000" w:themeColor="text1"/>
          <w:sz w:val="32"/>
          <w:szCs w:val="32"/>
          <w:lang w:eastAsia="zh-CN"/>
          <w14:textFill>
            <w14:solidFill>
              <w14:schemeClr w14:val="tx1"/>
            </w14:solidFill>
          </w14:textFill>
        </w:rPr>
        <w:t>全部</w:t>
      </w:r>
      <w:r>
        <w:rPr>
          <w:rFonts w:hint="eastAsia" w:ascii="仿宋_GB2312" w:hAnsi="仿宋_GB2312" w:eastAsia="仿宋_GB2312" w:cs="仿宋_GB2312"/>
          <w:color w:val="000000" w:themeColor="text1"/>
          <w:sz w:val="32"/>
          <w:szCs w:val="32"/>
          <w14:textFill>
            <w14:solidFill>
              <w14:schemeClr w14:val="tx1"/>
            </w14:solidFill>
          </w14:textFill>
        </w:rPr>
        <w:t>建成专业网络直播带货基地，直播带货行业快速发展</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2022年商务部门组织开展了“网上年货节”、“双品网购节”、“乡村振兴、直播助农”等活动，活动在快手号、抖音号、视频号等多个平台进行同步直播，形成强大的宣传合力，有效提升了我市名特优产品的知名度和影响力。</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2023年1月份开展了</w:t>
      </w:r>
      <w:r>
        <w:rPr>
          <w:rFonts w:hint="eastAsia" w:ascii="仿宋_GB2312" w:eastAsia="仿宋_GB2312" w:cs="仿宋_GB2312"/>
          <w:color w:val="000000" w:themeColor="text1"/>
          <w:spacing w:val="0"/>
          <w:sz w:val="32"/>
          <w:szCs w:val="32"/>
          <w:highlight w:val="none"/>
          <w:lang w:val="en-US" w:eastAsia="zh-CN" w:bidi="ar-SA"/>
          <w14:textFill>
            <w14:solidFill>
              <w14:schemeClr w14:val="tx1"/>
            </w14:solidFill>
          </w14:textFill>
        </w:rPr>
        <w:t>“巴彦淖尔市网上年货节”活动，</w:t>
      </w: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全市共组织了近200个商家，</w:t>
      </w:r>
      <w:r>
        <w:rPr>
          <w:rFonts w:hint="eastAsia" w:ascii="仿宋_GB2312" w:eastAsia="仿宋_GB2312" w:cs="仿宋_GB2312"/>
          <w:color w:val="000000" w:themeColor="text1"/>
          <w:spacing w:val="0"/>
          <w:sz w:val="32"/>
          <w:szCs w:val="32"/>
          <w:highlight w:val="none"/>
          <w:lang w:val="en-US" w:eastAsia="zh-CN" w:bidi="ar-SA"/>
          <w14:textFill>
            <w14:solidFill>
              <w14:schemeClr w14:val="tx1"/>
            </w14:solidFill>
          </w14:textFill>
        </w:rPr>
        <w:t>活动期间</w:t>
      </w: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共销售各类产品37.3万单，实现销售额3195万元。2023年4月28日-5月12日期间开展了“双品网购节”活动，活动期间全市参与企业共销售各类产品10.6万余单，实现销售额1100余万元。</w:t>
      </w:r>
    </w:p>
    <w:p>
      <w:pPr>
        <w:keepNext w:val="0"/>
        <w:keepLines w:val="0"/>
        <w:pageBreakBefore w:val="0"/>
        <w:widowControl w:val="0"/>
        <w:pBdr>
          <w:bottom w:val="single" w:color="FFFFFF" w:sz="4" w:space="31"/>
        </w:pBdr>
        <w:tabs>
          <w:tab w:val="left" w:pos="2700"/>
          <w:tab w:val="left" w:pos="2996"/>
          <w:tab w:val="left" w:pos="7545"/>
        </w:tabs>
        <w:kinsoku/>
        <w:wordWrap/>
        <w:overflowPunct/>
        <w:topLinePunct w:val="0"/>
        <w:autoSpaceDE/>
        <w:autoSpaceDN/>
        <w:bidi w:val="0"/>
        <w:adjustRightInd/>
        <w:snapToGrid/>
        <w:spacing w:line="580" w:lineRule="exact"/>
        <w:ind w:firstLine="640" w:firstLineChars="200"/>
        <w:textAlignment w:val="auto"/>
        <w:rPr>
          <w:rFonts w:hint="eastAsia" w:ascii="方正黑体_GBK" w:hAnsi="方正黑体_GBK" w:eastAsia="方正黑体_GBK" w:cs="方正黑体_GBK"/>
          <w:b w:val="0"/>
          <w:bCs w:val="0"/>
          <w:color w:val="000000"/>
          <w:sz w:val="32"/>
          <w:szCs w:val="32"/>
          <w:u w:val="none" w:color="auto"/>
          <w:lang w:val="en-US" w:eastAsia="zh-CN"/>
        </w:rPr>
      </w:pPr>
      <w:r>
        <w:rPr>
          <w:rFonts w:hint="eastAsia" w:ascii="方正黑体_GBK" w:hAnsi="方正黑体_GBK" w:eastAsia="方正黑体_GBK" w:cs="方正黑体_GBK"/>
          <w:b w:val="0"/>
          <w:bCs w:val="0"/>
          <w:color w:val="000000"/>
          <w:sz w:val="32"/>
          <w:szCs w:val="32"/>
          <w:u w:val="none" w:color="auto"/>
          <w:lang w:val="en-US" w:eastAsia="zh-CN"/>
        </w:rPr>
        <w:t>四、推动本土电商企业及品牌培育</w:t>
      </w:r>
    </w:p>
    <w:p>
      <w:pPr>
        <w:keepNext w:val="0"/>
        <w:keepLines w:val="0"/>
        <w:pageBreakBefore w:val="0"/>
        <w:widowControl w:val="0"/>
        <w:numPr>
          <w:ilvl w:val="0"/>
          <w:numId w:val="0"/>
        </w:numPr>
        <w:pBdr>
          <w:bottom w:val="single" w:color="FFFFFF" w:sz="4" w:space="31"/>
        </w:pBdr>
        <w:tabs>
          <w:tab w:val="left" w:pos="2700"/>
          <w:tab w:val="left" w:pos="2996"/>
          <w:tab w:val="left" w:pos="7545"/>
        </w:tabs>
        <w:kinsoku/>
        <w:wordWrap/>
        <w:overflowPunct/>
        <w:topLinePunct w:val="0"/>
        <w:autoSpaceDE/>
        <w:autoSpaceDN/>
        <w:bidi w:val="0"/>
        <w:adjustRightInd/>
        <w:snapToGrid/>
        <w:spacing w:line="580" w:lineRule="exact"/>
        <w:ind w:firstLine="64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0"/>
          <w:sz w:val="32"/>
          <w:szCs w:val="32"/>
          <w:lang w:val="en-US" w:eastAsia="zh-CN" w:bidi="ar"/>
        </w:rPr>
        <w:t>加强本土电商企业培育，大力支持传统企业运用电子商务转型升级促进线上线下融合发展。</w:t>
      </w:r>
      <w:r>
        <w:rPr>
          <w:rFonts w:hint="eastAsia" w:ascii="仿宋_GB2312" w:hAnsi="仿宋_GB2312" w:eastAsia="仿宋_GB2312" w:cs="仿宋_GB2312"/>
          <w:b/>
          <w:bCs/>
          <w:kern w:val="0"/>
          <w:sz w:val="32"/>
          <w:szCs w:val="32"/>
          <w:lang w:val="en-US" w:eastAsia="zh-CN" w:bidi="ar"/>
        </w:rPr>
        <w:t>一是</w:t>
      </w:r>
      <w:r>
        <w:rPr>
          <w:rFonts w:hint="eastAsia" w:ascii="仿宋_GB2312" w:hAnsi="仿宋_GB2312" w:eastAsia="仿宋_GB2312" w:cs="仿宋_GB2312"/>
          <w:b w:val="0"/>
          <w:bCs w:val="0"/>
          <w:kern w:val="0"/>
          <w:sz w:val="32"/>
          <w:szCs w:val="32"/>
          <w:lang w:val="en-US" w:eastAsia="zh-CN" w:bidi="ar"/>
        </w:rPr>
        <w:t>大力</w:t>
      </w:r>
      <w:r>
        <w:rPr>
          <w:rFonts w:hint="eastAsia" w:ascii="仿宋_GB2312" w:hAnsi="仿宋_GB2312" w:eastAsia="仿宋_GB2312" w:cs="仿宋_GB2312"/>
          <w:kern w:val="0"/>
          <w:sz w:val="32"/>
          <w:szCs w:val="32"/>
          <w:lang w:val="en-US" w:eastAsia="zh-CN" w:bidi="ar"/>
        </w:rPr>
        <w:t>培育</w:t>
      </w:r>
      <w:r>
        <w:rPr>
          <w:rFonts w:hint="eastAsia" w:ascii="仿宋_GB2312" w:hAnsi="仿宋_GB2312" w:eastAsia="仿宋_GB2312" w:cs="仿宋_GB2312"/>
          <w:b w:val="0"/>
          <w:bCs w:val="0"/>
          <w:color w:val="000000"/>
          <w:sz w:val="32"/>
          <w:szCs w:val="32"/>
          <w:lang w:val="en-US" w:eastAsia="zh-CN"/>
        </w:rPr>
        <w:t>电商龙头企业。推动</w:t>
      </w:r>
      <w:r>
        <w:rPr>
          <w:rStyle w:val="5"/>
          <w:rFonts w:hint="eastAsia" w:ascii="仿宋_GB2312" w:hAnsi="仿宋_GB2312" w:eastAsia="仿宋_GB2312" w:cs="仿宋_GB2312"/>
          <w:b w:val="0"/>
          <w:bCs w:val="0"/>
          <w:color w:val="auto"/>
          <w:sz w:val="32"/>
          <w:szCs w:val="32"/>
          <w:lang w:val="en-US" w:eastAsia="zh-CN"/>
        </w:rPr>
        <w:t>圣牧高科</w:t>
      </w:r>
      <w:r>
        <w:rPr>
          <w:rStyle w:val="5"/>
          <w:rFonts w:hint="eastAsia" w:ascii="仿宋_GB2312" w:hAnsi="仿宋_GB2312" w:eastAsia="仿宋_GB2312" w:cs="仿宋_GB2312"/>
          <w:b w:val="0"/>
          <w:color w:val="auto"/>
          <w:sz w:val="32"/>
          <w:szCs w:val="32"/>
          <w:lang w:val="en-US" w:eastAsia="zh-CN"/>
        </w:rPr>
        <w:t>有机纯牛奶、酸</w:t>
      </w:r>
      <w:r>
        <w:rPr>
          <w:rStyle w:val="5"/>
          <w:rFonts w:hint="eastAsia" w:ascii="仿宋_GB2312" w:hAnsi="仿宋_GB2312" w:eastAsia="仿宋_GB2312" w:cs="仿宋_GB2312"/>
          <w:b w:val="0"/>
          <w:color w:val="000000" w:themeColor="text1"/>
          <w:sz w:val="32"/>
          <w:szCs w:val="32"/>
          <w:lang w:val="en-US" w:eastAsia="zh-CN"/>
          <w14:textFill>
            <w14:solidFill>
              <w14:schemeClr w14:val="tx1"/>
            </w14:solidFill>
          </w14:textFill>
        </w:rPr>
        <w:t>牛奶、儿童奶和脱脂奶四大品类12个单品实现网上销售，2022年实现网上</w:t>
      </w:r>
      <w:r>
        <w:rPr>
          <w:rFonts w:hint="eastAsia" w:ascii="仿宋_GB2312" w:hAnsi="仿宋_GB2312" w:eastAsia="仿宋_GB2312" w:cs="仿宋_GB2312"/>
          <w:color w:val="000000" w:themeColor="text1"/>
          <w:sz w:val="32"/>
          <w:szCs w:val="32"/>
          <w:lang w:val="en" w:eastAsia="zh-CN"/>
          <w14:textFill>
            <w14:solidFill>
              <w14:schemeClr w14:val="tx1"/>
            </w14:solidFill>
          </w14:textFill>
        </w:rPr>
        <w:t>交易额</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3.14亿元，2023年1-4月份</w:t>
      </w:r>
      <w:r>
        <w:rPr>
          <w:rStyle w:val="5"/>
          <w:rFonts w:hint="eastAsia" w:ascii="仿宋_GB2312" w:hAnsi="仿宋_GB2312" w:eastAsia="仿宋_GB2312" w:cs="仿宋_GB2312"/>
          <w:b w:val="0"/>
          <w:color w:val="000000" w:themeColor="text1"/>
          <w:sz w:val="32"/>
          <w:szCs w:val="32"/>
          <w:lang w:val="en-US" w:eastAsia="zh-CN"/>
          <w14:textFill>
            <w14:solidFill>
              <w14:schemeClr w14:val="tx1"/>
            </w14:solidFill>
          </w14:textFill>
        </w:rPr>
        <w:t>实现网上</w:t>
      </w:r>
      <w:r>
        <w:rPr>
          <w:rFonts w:hint="eastAsia" w:ascii="仿宋_GB2312" w:hAnsi="仿宋_GB2312" w:eastAsia="仿宋_GB2312" w:cs="仿宋_GB2312"/>
          <w:color w:val="000000" w:themeColor="text1"/>
          <w:sz w:val="32"/>
          <w:szCs w:val="32"/>
          <w:lang w:val="en" w:eastAsia="zh-CN"/>
          <w14:textFill>
            <w14:solidFill>
              <w14:schemeClr w14:val="tx1"/>
            </w14:solidFill>
          </w14:textFill>
        </w:rPr>
        <w:t>交易额</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1.3亿元；</w:t>
      </w:r>
      <w:r>
        <w:rPr>
          <w:rStyle w:val="5"/>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草原宏宝公司2022年实现</w:t>
      </w:r>
      <w:r>
        <w:rPr>
          <w:rFonts w:hint="eastAsia" w:ascii="仿宋_GB2312" w:hAnsi="仿宋_GB2312" w:eastAsia="仿宋_GB2312" w:cs="仿宋_GB2312"/>
          <w:color w:val="000000" w:themeColor="text1"/>
          <w:sz w:val="32"/>
          <w:szCs w:val="32"/>
          <w:lang w:val="en" w:eastAsia="zh-CN"/>
          <w14:textFill>
            <w14:solidFill>
              <w14:schemeClr w14:val="tx1"/>
            </w14:solidFill>
          </w14:textFill>
        </w:rPr>
        <w:t>网上交易额</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5899万元，2023年1-4月份，</w:t>
      </w:r>
      <w:r>
        <w:rPr>
          <w:rStyle w:val="5"/>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实现</w:t>
      </w:r>
      <w:r>
        <w:rPr>
          <w:rFonts w:hint="eastAsia" w:ascii="仿宋_GB2312" w:hAnsi="仿宋_GB2312" w:eastAsia="仿宋_GB2312" w:cs="仿宋_GB2312"/>
          <w:color w:val="000000" w:themeColor="text1"/>
          <w:sz w:val="32"/>
          <w:szCs w:val="32"/>
          <w:lang w:val="en" w:eastAsia="zh-CN"/>
          <w14:textFill>
            <w14:solidFill>
              <w14:schemeClr w14:val="tx1"/>
            </w14:solidFill>
          </w14:textFill>
        </w:rPr>
        <w:t>网上交易额</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1054万元。</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b w:val="0"/>
          <w:bCs w:val="0"/>
          <w:sz w:val="32"/>
          <w:szCs w:val="32"/>
          <w:lang w:val="en-US" w:eastAsia="zh-CN"/>
        </w:rPr>
        <w:t>积极</w:t>
      </w:r>
      <w:r>
        <w:rPr>
          <w:rFonts w:hint="eastAsia" w:ascii="仿宋_GB2312" w:hAnsi="仿宋_GB2312" w:eastAsia="仿宋_GB2312" w:cs="仿宋_GB2312"/>
          <w:kern w:val="0"/>
          <w:sz w:val="32"/>
          <w:szCs w:val="32"/>
          <w:lang w:val="en-US" w:eastAsia="zh-CN" w:bidi="ar"/>
        </w:rPr>
        <w:t>培育小微电商企业、网店、微商，实施“公共品牌+自有品牌”农产品双品牌战略，提升农产品附加值。推动</w:t>
      </w:r>
      <w:r>
        <w:rPr>
          <w:rFonts w:hint="eastAsia" w:ascii="仿宋_GB2312" w:hAnsi="仿宋_GB2312" w:eastAsia="仿宋_GB2312" w:cs="仿宋_GB2312"/>
          <w:kern w:val="2"/>
          <w:sz w:val="32"/>
          <w:szCs w:val="32"/>
          <w:lang w:val="en-US" w:eastAsia="zh-CN" w:bidi="ar-SA"/>
        </w:rPr>
        <w:t>创新孵化“</w:t>
      </w:r>
      <w:r>
        <w:rPr>
          <w:rFonts w:hint="eastAsia" w:ascii="仿宋_GB2312" w:hAnsi="仿宋_GB2312" w:eastAsia="仿宋_GB2312" w:cs="仿宋_GB2312"/>
          <w:color w:val="000000"/>
          <w:sz w:val="32"/>
          <w:szCs w:val="32"/>
          <w:lang w:val="en-US" w:eastAsia="zh-CN"/>
        </w:rPr>
        <w:t>草原宏宝、金草原、和兴利、</w:t>
      </w:r>
      <w:r>
        <w:rPr>
          <w:rFonts w:hint="eastAsia" w:ascii="仿宋_GB2312" w:hAnsi="仿宋_GB2312" w:eastAsia="仿宋_GB2312" w:cs="仿宋_GB2312"/>
          <w:kern w:val="2"/>
          <w:sz w:val="32"/>
          <w:szCs w:val="32"/>
          <w:lang w:val="en-US" w:eastAsia="zh-CN" w:bidi="ar-SA"/>
        </w:rPr>
        <w:t>玉米加农炮、胖农瓜子、</w:t>
      </w:r>
      <w:r>
        <w:rPr>
          <w:rFonts w:hint="eastAsia" w:ascii="仿宋_GB2312" w:hAnsi="仿宋_GB2312" w:eastAsia="仿宋_GB2312" w:cs="仿宋_GB2312"/>
          <w:color w:val="000000"/>
          <w:sz w:val="32"/>
          <w:szCs w:val="32"/>
          <w:lang w:val="en-US" w:eastAsia="zh-CN"/>
        </w:rPr>
        <w:t>魏记大碗羊肉、三胖蛋</w:t>
      </w:r>
      <w:r>
        <w:rPr>
          <w:rFonts w:hint="eastAsia" w:ascii="仿宋_GB2312" w:hAnsi="仿宋_GB2312" w:eastAsia="仿宋_GB2312" w:cs="仿宋_GB2312"/>
          <w:kern w:val="2"/>
          <w:sz w:val="32"/>
          <w:szCs w:val="32"/>
          <w:lang w:val="en-US" w:eastAsia="zh-CN" w:bidi="ar-SA"/>
        </w:rPr>
        <w:t>”等40多个互联网畅销品牌。</w:t>
      </w:r>
    </w:p>
    <w:p>
      <w:pPr>
        <w:keepNext w:val="0"/>
        <w:keepLines w:val="0"/>
        <w:pageBreakBefore w:val="0"/>
        <w:widowControl w:val="0"/>
        <w:numPr>
          <w:ilvl w:val="0"/>
          <w:numId w:val="0"/>
        </w:numPr>
        <w:pBdr>
          <w:bottom w:val="single" w:color="FFFFFF" w:sz="4" w:space="31"/>
        </w:pBdr>
        <w:tabs>
          <w:tab w:val="left" w:pos="2700"/>
          <w:tab w:val="left" w:pos="2996"/>
          <w:tab w:val="left" w:pos="7545"/>
        </w:tabs>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方正黑体_GBK" w:hAnsi="方正黑体_GBK" w:eastAsia="方正黑体_GBK" w:cs="方正黑体_GBK"/>
          <w:b w:val="0"/>
          <w:bCs w:val="0"/>
          <w:color w:val="000000"/>
          <w:sz w:val="32"/>
          <w:szCs w:val="32"/>
          <w:u w:val="none" w:color="auto"/>
          <w:lang w:val="en-US" w:eastAsia="zh-CN"/>
        </w:rPr>
        <w:t>五、提升公共服务水平，激发网络经营者创业创新活力。</w:t>
      </w:r>
      <w:r>
        <w:rPr>
          <w:rFonts w:hint="eastAsia" w:ascii="仿宋_GB2312" w:hAnsi="仿宋_GB2312" w:eastAsia="仿宋_GB2312" w:cs="仿宋_GB2312"/>
          <w:b/>
          <w:bCs/>
          <w:color w:val="000000"/>
          <w:sz w:val="32"/>
          <w:szCs w:val="32"/>
          <w:u w:val="none" w:color="auto"/>
          <w:lang w:val="en-US" w:eastAsia="zh-CN"/>
        </w:rPr>
        <w:t>一是</w:t>
      </w:r>
      <w:r>
        <w:rPr>
          <w:rFonts w:hint="eastAsia" w:ascii="仿宋_GB2312" w:hAnsi="仿宋_GB2312" w:eastAsia="仿宋_GB2312" w:cs="仿宋_GB2312"/>
          <w:sz w:val="32"/>
          <w:szCs w:val="32"/>
          <w:lang w:eastAsia="zh-CN"/>
        </w:rPr>
        <w:t>各旗县区电商园区制定减免房租、水电费、提供公共服务等各项优惠政策，减轻企业负担，吸引企业入驻</w:t>
      </w:r>
      <w:r>
        <w:rPr>
          <w:rFonts w:hint="eastAsia" w:ascii="仿宋_GB2312" w:hAnsi="仿宋_GB2312" w:eastAsia="仿宋_GB2312" w:cs="仿宋_GB2312"/>
          <w:sz w:val="32"/>
          <w:szCs w:val="32"/>
        </w:rPr>
        <w:t>。</w:t>
      </w:r>
      <w:r>
        <w:rPr>
          <w:rFonts w:hint="eastAsia" w:ascii="仿宋_GB2312" w:hAnsi="仿宋_GB2312" w:eastAsia="仿宋_GB2312" w:cs="仿宋_GB2312"/>
          <w:b/>
          <w:bCs/>
          <w:kern w:val="2"/>
          <w:sz w:val="32"/>
          <w:szCs w:val="32"/>
          <w:lang w:val="en-US" w:eastAsia="zh-CN" w:bidi="ar-SA"/>
        </w:rPr>
        <w:t>二是</w:t>
      </w:r>
      <w:r>
        <w:rPr>
          <w:rFonts w:hint="eastAsia" w:ascii="仿宋_GB2312" w:hAnsi="仿宋_GB2312" w:eastAsia="仿宋_GB2312" w:cs="仿宋_GB2312"/>
          <w:kern w:val="2"/>
          <w:sz w:val="32"/>
          <w:szCs w:val="32"/>
          <w:lang w:val="en-US" w:eastAsia="zh-CN" w:bidi="ar-SA"/>
        </w:rPr>
        <w:t>开展电子商务技能培训工作，近年来商务部门依托各电商园区重点对园区入驻企业和个体、返乡创业人员、失业人员、农村牧区电商服务网点负责人等相关人员，采取“理论学习+实战演练”相结合的方式，围绕直播间设计与建设、直播能力及带货技巧、短视频拍摄和直播演练、直播话术演练等电子商务知识和技能进行培训，大大稳定和增加了相关人员的就业技能。</w:t>
      </w:r>
      <w:r>
        <w:rPr>
          <w:rFonts w:hint="eastAsia" w:ascii="仿宋_GB2312" w:hAnsi="仿宋_GB2312" w:eastAsia="仿宋_GB2312" w:cs="仿宋_GB2312"/>
          <w:color w:val="auto"/>
          <w:kern w:val="2"/>
          <w:sz w:val="32"/>
          <w:szCs w:val="32"/>
          <w:lang w:val="en-US" w:eastAsia="zh-CN" w:bidi="ar-SA"/>
        </w:rPr>
        <w:t>2022年累计开展各类电商培训班88期，培训电子商务应用型人才6842人次</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，2023年1-4月份，开展各类电商培训班36期，培训电子商</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务应用型人才2006人次。</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巴彦淖尔市商务局</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日</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pStyle w:val="2"/>
        <w:keepNext w:val="0"/>
        <w:keepLines w:val="0"/>
        <w:pageBreakBefore w:val="0"/>
        <w:widowControl w:val="0"/>
        <w:kinsoku/>
        <w:wordWrap/>
        <w:overflowPunct/>
        <w:topLinePunct w:val="0"/>
        <w:autoSpaceDE/>
        <w:autoSpaceDN/>
        <w:bidi w:val="0"/>
        <w:adjustRightInd/>
        <w:snapToGrid/>
        <w:spacing w:after="0" w:line="580" w:lineRule="exact"/>
        <w:ind w:firstLine="64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签发人：乌德木</w:t>
      </w:r>
    </w:p>
    <w:p>
      <w:pPr>
        <w:pStyle w:val="2"/>
        <w:keepNext w:val="0"/>
        <w:keepLines w:val="0"/>
        <w:pageBreakBefore w:val="0"/>
        <w:widowControl w:val="0"/>
        <w:kinsoku/>
        <w:wordWrap/>
        <w:overflowPunct/>
        <w:topLinePunct w:val="0"/>
        <w:autoSpaceDE/>
        <w:autoSpaceDN/>
        <w:bidi w:val="0"/>
        <w:adjustRightInd/>
        <w:snapToGrid/>
        <w:spacing w:after="0" w:line="58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承办人：陈宏</w:t>
      </w:r>
    </w:p>
    <w:p>
      <w:pPr>
        <w:pStyle w:val="2"/>
        <w:keepNext w:val="0"/>
        <w:keepLines w:val="0"/>
        <w:pageBreakBefore w:val="0"/>
        <w:widowControl w:val="0"/>
        <w:kinsoku/>
        <w:wordWrap/>
        <w:overflowPunct/>
        <w:topLinePunct w:val="0"/>
        <w:autoSpaceDE/>
        <w:autoSpaceDN/>
        <w:bidi w:val="0"/>
        <w:adjustRightInd/>
        <w:snapToGrid/>
        <w:spacing w:after="0" w:line="58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电  话：8922609</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7A"/>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947CF"/>
    <w:rsid w:val="2FFFD7EB"/>
    <w:rsid w:val="3F3BB9F9"/>
    <w:rsid w:val="4A1947CF"/>
    <w:rsid w:val="54FFFABC"/>
    <w:rsid w:val="5DDC55B0"/>
    <w:rsid w:val="5DDDC3A6"/>
    <w:rsid w:val="65FE998F"/>
    <w:rsid w:val="6FFEAA7E"/>
    <w:rsid w:val="77FFD5A1"/>
    <w:rsid w:val="79753987"/>
    <w:rsid w:val="7EFEE4C8"/>
    <w:rsid w:val="7FD625A4"/>
    <w:rsid w:val="DFDD9F40"/>
    <w:rsid w:val="EB850D6F"/>
    <w:rsid w:val="EBEFF175"/>
    <w:rsid w:val="F59F3069"/>
    <w:rsid w:val="FB6728D0"/>
    <w:rsid w:val="FC6FCD03"/>
    <w:rsid w:val="FFEDB4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1252</TotalTime>
  <ScaleCrop>false</ScaleCrop>
  <LinksUpToDate>false</LinksUpToDate>
  <CharactersWithSpaces>0</CharactersWithSpaces>
  <Application>WPS Office_11.8.2.9980_F1E327BC-269C-435d-A152-05C5408002CA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2018-07-13T15:11:00Z</dcterms:created>
  <dc:creator>d</dc:creator>
  <cp:lastModifiedBy>user</cp:lastModifiedBy>
  <dcterms:modified xsi:type="dcterms:W3CDTF">2023-06-25T16:40:46Z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2052-11.8.2.9980</vt:lpwstr>
  </property>
</Properties>
</file>