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cs="Times New Roman"/>
          <w:sz w:val="44"/>
          <w:szCs w:val="44"/>
          <w:lang w:val="en" w:eastAsia="zh-CN"/>
        </w:rPr>
      </w:pPr>
      <w:r>
        <w:rPr>
          <w:rFonts w:hint="eastAsia" w:ascii="Times New Roman" w:hAnsi="Times New Roman" w:eastAsia="方正小标宋简体" w:cs="Times New Roman"/>
          <w:sz w:val="44"/>
          <w:szCs w:val="44"/>
          <w:lang w:val="en" w:eastAsia="zh-CN"/>
        </w:rPr>
        <w:t>关于对市政协五届六次会议</w:t>
      </w:r>
    </w:p>
    <w:p>
      <w:pPr>
        <w:spacing w:line="600" w:lineRule="exact"/>
        <w:jc w:val="center"/>
        <w:rPr>
          <w:rFonts w:hint="eastAsia" w:ascii="Times New Roman" w:hAnsi="Times New Roman" w:eastAsia="方正小标宋简体" w:cs="Times New Roman"/>
          <w:sz w:val="44"/>
          <w:szCs w:val="44"/>
          <w:lang w:val="en" w:eastAsia="zh-CN"/>
        </w:rPr>
      </w:pPr>
      <w:r>
        <w:rPr>
          <w:rFonts w:hint="eastAsia" w:ascii="Times New Roman" w:hAnsi="Times New Roman" w:eastAsia="方正小标宋简体" w:cs="Times New Roman"/>
          <w:sz w:val="44"/>
          <w:szCs w:val="44"/>
          <w:lang w:val="en" w:eastAsia="zh-CN"/>
        </w:rPr>
        <w:t>第</w:t>
      </w:r>
      <w:r>
        <w:rPr>
          <w:rFonts w:hint="eastAsia" w:ascii="Times New Roman" w:hAnsi="Times New Roman" w:eastAsia="方正小标宋简体" w:cs="Times New Roman"/>
          <w:sz w:val="44"/>
          <w:szCs w:val="44"/>
          <w:lang w:val="en-US" w:eastAsia="zh-CN"/>
        </w:rPr>
        <w:t>010号</w:t>
      </w:r>
      <w:r>
        <w:rPr>
          <w:rFonts w:hint="eastAsia" w:ascii="Times New Roman" w:hAnsi="Times New Roman" w:eastAsia="方正小标宋简体" w:cs="Times New Roman"/>
          <w:sz w:val="44"/>
          <w:szCs w:val="44"/>
          <w:lang w:val="en" w:eastAsia="zh-CN"/>
        </w:rPr>
        <w:t>提案的答复</w:t>
      </w:r>
    </w:p>
    <w:p>
      <w:pPr>
        <w:pStyle w:val="2"/>
        <w:rPr>
          <w:rFonts w:hint="eastAsia" w:ascii="Times New Roman" w:hAnsi="Times New Roman" w:eastAsia="方正小标宋简体" w:cs="Times New Roman"/>
          <w:sz w:val="44"/>
          <w:szCs w:val="44"/>
          <w:lang w:val="en" w:eastAsia="zh-CN"/>
        </w:rPr>
      </w:pPr>
    </w:p>
    <w:p>
      <w:pPr>
        <w:pStyle w:val="2"/>
        <w:rPr>
          <w:rFonts w:hint="eastAsia" w:ascii="仿宋_GB2312" w:hAnsi="仿宋_GB2312" w:eastAsia="仿宋_GB2312" w:cs="仿宋_GB2312"/>
          <w:kern w:val="2"/>
          <w:sz w:val="32"/>
          <w:szCs w:val="32"/>
          <w:lang w:val="en" w:eastAsia="zh-CN" w:bidi="ar-SA"/>
        </w:rPr>
      </w:pPr>
      <w:r>
        <w:rPr>
          <w:rFonts w:hint="eastAsia" w:ascii="仿宋_GB2312" w:hAnsi="仿宋_GB2312" w:eastAsia="仿宋_GB2312" w:cs="仿宋_GB2312"/>
          <w:kern w:val="2"/>
          <w:sz w:val="32"/>
          <w:szCs w:val="32"/>
          <w:lang w:val="en" w:eastAsia="zh-CN" w:bidi="ar-SA"/>
        </w:rPr>
        <w:t>魏森委员：</w:t>
      </w:r>
    </w:p>
    <w:p>
      <w:pPr>
        <w:ind w:firstLine="64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您</w:t>
      </w:r>
      <w:r>
        <w:rPr>
          <w:rFonts w:hint="eastAsia" w:ascii="仿宋_GB2312" w:hAnsi="仿宋_GB2312" w:eastAsia="仿宋_GB2312" w:cs="仿宋_GB2312"/>
          <w:sz w:val="32"/>
          <w:szCs w:val="32"/>
          <w:lang w:val="en" w:eastAsia="zh-CN"/>
        </w:rPr>
        <w:t>提出《关于</w:t>
      </w:r>
      <w:r>
        <w:rPr>
          <w:rFonts w:hint="eastAsia" w:ascii="仿宋_GB2312" w:hAnsi="仿宋_GB2312" w:cs="仿宋_GB2312"/>
          <w:sz w:val="32"/>
          <w:szCs w:val="32"/>
          <w:lang w:val="en" w:eastAsia="zh-CN"/>
        </w:rPr>
        <w:t>建好用好开放平台主动融入内蒙古自贸区建设</w:t>
      </w:r>
      <w:r>
        <w:rPr>
          <w:rFonts w:hint="eastAsia" w:ascii="仿宋_GB2312" w:hAnsi="仿宋_GB2312" w:eastAsia="仿宋_GB2312" w:cs="仿宋_GB2312"/>
          <w:sz w:val="32"/>
          <w:szCs w:val="32"/>
          <w:lang w:val="en" w:eastAsia="zh-CN"/>
        </w:rPr>
        <w:t>的提案》已收悉，现答复如下：</w:t>
      </w:r>
    </w:p>
    <w:p>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对您提出的建议进行了认真研究，认为建议非常好。建立中国（内蒙古）自由贸易试验区是党中央、国务院作出的重大决策，是进一步全面深化改革、推进高水平对外开放、推动高质量发展的重要战略举措。按照</w:t>
      </w:r>
      <w:r>
        <w:rPr>
          <w:rFonts w:hint="default" w:ascii="仿宋_GB2312" w:hAnsi="仿宋_GB2312" w:eastAsia="仿宋_GB2312" w:cs="仿宋_GB2312"/>
          <w:sz w:val="32"/>
          <w:szCs w:val="32"/>
          <w:lang w:val="en-US" w:eastAsia="zh-CN"/>
        </w:rPr>
        <w:t>国务院关于印发《中国（内蒙古）自由贸易试验区总体方案》的通知</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国发〔2026〕6号</w:t>
      </w:r>
      <w:r>
        <w:rPr>
          <w:rFonts w:hint="eastAsia" w:ascii="仿宋_GB2312" w:hAnsi="仿宋_GB2312" w:eastAsia="仿宋_GB2312" w:cs="仿宋_GB2312"/>
          <w:sz w:val="32"/>
          <w:szCs w:val="32"/>
          <w:lang w:val="en-US" w:eastAsia="zh-CN"/>
        </w:rPr>
        <w:t>），结合商务工作实际，</w:t>
      </w:r>
      <w:r>
        <w:rPr>
          <w:rFonts w:hint="eastAsia" w:ascii="仿宋_GB2312" w:hAnsi="仿宋_GB2312" w:cs="仿宋_GB2312"/>
          <w:sz w:val="32"/>
          <w:szCs w:val="32"/>
          <w:lang w:val="en-US" w:eastAsia="zh-CN"/>
        </w:rPr>
        <w:t>现就我市推动开放平台建设相关</w:t>
      </w:r>
      <w:r>
        <w:rPr>
          <w:rFonts w:hint="default" w:ascii="仿宋_GB2312" w:hAnsi="仿宋_GB2312" w:eastAsia="仿宋_GB2312" w:cs="仿宋_GB2312"/>
          <w:sz w:val="32"/>
          <w:szCs w:val="32"/>
          <w:lang w:val="en-US" w:eastAsia="zh-CN"/>
        </w:rPr>
        <w:t>情况</w:t>
      </w:r>
      <w:r>
        <w:rPr>
          <w:rFonts w:hint="eastAsia" w:ascii="仿宋_GB2312" w:hAnsi="仿宋_GB2312" w:cs="仿宋_GB2312"/>
          <w:sz w:val="32"/>
          <w:szCs w:val="32"/>
          <w:lang w:val="en-US" w:eastAsia="zh-CN"/>
        </w:rPr>
        <w:t>总结如下。</w:t>
      </w:r>
    </w:p>
    <w:p>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一、基本情况</w:t>
      </w:r>
    </w:p>
    <w:p>
      <w:pPr>
        <w:ind w:firstLine="640"/>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2025年以来，自治区将自贸区创建工程列为引领全区开放发展的关键举措，明确提出深度融入自贸区创建，推动沿边口岸、保税物流中心及产业园区等开放</w:t>
      </w:r>
      <w:r>
        <w:rPr>
          <w:rFonts w:hint="eastAsia" w:ascii="仿宋_GB2312" w:hAnsi="仿宋_GB2312" w:cs="仿宋_GB2312"/>
          <w:sz w:val="32"/>
          <w:szCs w:val="32"/>
          <w:lang w:val="en-US" w:eastAsia="zh-CN"/>
        </w:rPr>
        <w:t>平台</w:t>
      </w:r>
      <w:r>
        <w:rPr>
          <w:rFonts w:hint="default" w:ascii="仿宋_GB2312" w:hAnsi="仿宋_GB2312" w:eastAsia="仿宋_GB2312" w:cs="仿宋_GB2312"/>
          <w:sz w:val="32"/>
          <w:szCs w:val="32"/>
          <w:lang w:val="en-US" w:eastAsia="zh-CN"/>
        </w:rPr>
        <w:t>联动发展。作为</w:t>
      </w:r>
      <w:r>
        <w:rPr>
          <w:rFonts w:hint="eastAsia" w:ascii="仿宋_GB2312" w:hAnsi="仿宋_GB2312" w:cs="仿宋_GB2312"/>
          <w:sz w:val="32"/>
          <w:szCs w:val="32"/>
          <w:lang w:val="en-US" w:eastAsia="zh-CN"/>
        </w:rPr>
        <w:t>建设国家向北开放重要桥头堡</w:t>
      </w:r>
      <w:r>
        <w:rPr>
          <w:rFonts w:hint="default" w:ascii="仿宋_GB2312" w:hAnsi="仿宋_GB2312" w:eastAsia="仿宋_GB2312" w:cs="仿宋_GB2312"/>
          <w:sz w:val="32"/>
          <w:szCs w:val="32"/>
          <w:lang w:val="en-US" w:eastAsia="zh-CN"/>
        </w:rPr>
        <w:t>的前沿节点，</w:t>
      </w:r>
      <w:r>
        <w:rPr>
          <w:rFonts w:hint="eastAsia" w:ascii="仿宋_GB2312" w:hAnsi="仿宋_GB2312" w:cs="仿宋_GB2312"/>
          <w:sz w:val="32"/>
          <w:szCs w:val="32"/>
          <w:lang w:val="en-US" w:eastAsia="zh-CN"/>
        </w:rPr>
        <w:t>我市</w:t>
      </w:r>
      <w:r>
        <w:rPr>
          <w:rFonts w:hint="default" w:ascii="仿宋_GB2312" w:hAnsi="仿宋_GB2312" w:eastAsia="仿宋_GB2312" w:cs="仿宋_GB2312"/>
          <w:sz w:val="32"/>
          <w:szCs w:val="32"/>
          <w:lang w:val="en-US" w:eastAsia="zh-CN"/>
        </w:rPr>
        <w:t>地处“一带一路”和中蒙俄经济走廊的关键位置，</w:t>
      </w:r>
      <w:r>
        <w:rPr>
          <w:rFonts w:hint="eastAsia" w:ascii="仿宋_GB2312" w:hAnsi="仿宋_GB2312" w:cs="仿宋_GB2312"/>
          <w:sz w:val="32"/>
          <w:szCs w:val="32"/>
          <w:lang w:val="en-US" w:eastAsia="zh-CN"/>
        </w:rPr>
        <w:t>依托</w:t>
      </w:r>
      <w:r>
        <w:rPr>
          <w:rFonts w:hint="default" w:ascii="仿宋_GB2312" w:hAnsi="仿宋_GB2312" w:eastAsia="仿宋_GB2312" w:cs="仿宋_GB2312"/>
          <w:sz w:val="32"/>
          <w:szCs w:val="32"/>
          <w:lang w:val="en-US" w:eastAsia="zh-CN"/>
        </w:rPr>
        <w:t>甘其毛都口岸、保税物流中心（B型）及国家级经济技术开发区等多层次开放载体，具备主动对接、深度融入内蒙古自贸区建设的先天优势与现实基础。</w:t>
      </w:r>
    </w:p>
    <w:p>
      <w:pPr>
        <w:bidi w:val="0"/>
        <w:ind w:firstLine="640"/>
        <w:jc w:val="both"/>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lang w:val="en-US" w:eastAsia="zh-CN"/>
        </w:rPr>
        <w:t>从发展数据来看，</w:t>
      </w:r>
      <w:r>
        <w:rPr>
          <w:rFonts w:hint="eastAsia" w:ascii="仿宋_GB2312" w:hAnsi="仿宋_GB2312" w:cs="仿宋_GB2312"/>
          <w:sz w:val="32"/>
          <w:szCs w:val="32"/>
          <w:lang w:val="en-US" w:eastAsia="zh-CN"/>
        </w:rPr>
        <w:t>我</w:t>
      </w:r>
      <w:r>
        <w:rPr>
          <w:rFonts w:hint="eastAsia" w:ascii="仿宋_GB2312" w:hAnsi="仿宋_GB2312" w:eastAsia="仿宋_GB2312" w:cs="仿宋_GB2312"/>
          <w:sz w:val="32"/>
          <w:szCs w:val="32"/>
          <w:lang w:val="en-US" w:eastAsia="zh-CN"/>
        </w:rPr>
        <w:t>市对外开放动能持续释放：202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lang w:val="en-US" w:eastAsia="zh-CN"/>
        </w:rPr>
        <w:t>年全市外贸进出口总额达到</w:t>
      </w:r>
      <w:r>
        <w:rPr>
          <w:rFonts w:hint="eastAsia" w:ascii="仿宋_GB2312" w:hAnsi="仿宋_GB2312" w:eastAsia="仿宋_GB2312" w:cs="仿宋_GB2312"/>
          <w:smallCaps/>
          <w:kern w:val="2"/>
          <w:sz w:val="32"/>
          <w:szCs w:val="32"/>
          <w:lang w:val="en-US" w:eastAsia="zh-CN" w:bidi="ar-SA"/>
        </w:rPr>
        <w:t>573.3</w:t>
      </w:r>
      <w:r>
        <w:rPr>
          <w:rFonts w:hint="eastAsia" w:ascii="仿宋_GB2312" w:hAnsi="仿宋_GB2312" w:eastAsia="仿宋_GB2312" w:cs="仿宋_GB2312"/>
          <w:sz w:val="32"/>
          <w:szCs w:val="32"/>
          <w:lang w:val="en-US" w:eastAsia="zh-CN"/>
        </w:rPr>
        <w:t>亿元，同比增长</w:t>
      </w:r>
      <w:r>
        <w:rPr>
          <w:rFonts w:hint="eastAsia" w:ascii="仿宋_GB2312" w:hAnsi="仿宋_GB2312" w:eastAsia="仿宋_GB2312" w:cs="仿宋_GB2312"/>
          <w:smallCaps/>
          <w:kern w:val="2"/>
          <w:sz w:val="32"/>
          <w:szCs w:val="32"/>
          <w:lang w:val="en-US" w:eastAsia="zh-CN" w:bidi="ar-SA"/>
        </w:rPr>
        <w:t>28.8</w:t>
      </w:r>
      <w:r>
        <w:rPr>
          <w:rFonts w:hint="eastAsia" w:ascii="仿宋_GB2312" w:hAnsi="仿宋_GB2312" w:eastAsia="仿宋_GB2312" w:cs="仿宋_GB2312"/>
          <w:sz w:val="32"/>
          <w:szCs w:val="32"/>
          <w:lang w:val="en-US" w:eastAsia="zh-CN"/>
        </w:rPr>
        <w:t>%，其中农产品出口额</w:t>
      </w:r>
      <w:r>
        <w:rPr>
          <w:rFonts w:hint="eastAsia" w:ascii="仿宋_GB2312" w:hAnsi="仿宋_GB2312" w:cs="仿宋_GB2312"/>
          <w:sz w:val="32"/>
          <w:szCs w:val="32"/>
          <w:lang w:val="en-US" w:eastAsia="zh-CN"/>
        </w:rPr>
        <w:t>86.33</w:t>
      </w:r>
      <w:r>
        <w:rPr>
          <w:rFonts w:hint="eastAsia" w:ascii="仿宋_GB2312" w:hAnsi="仿宋_GB2312" w:eastAsia="仿宋_GB2312" w:cs="仿宋_GB2312"/>
          <w:sz w:val="32"/>
          <w:szCs w:val="32"/>
          <w:lang w:val="en-US" w:eastAsia="zh-CN"/>
        </w:rPr>
        <w:t>亿元，</w:t>
      </w:r>
      <w:r>
        <w:rPr>
          <w:rFonts w:hint="eastAsia" w:ascii="仿宋_GB2312" w:hAnsi="仿宋_GB2312" w:cs="仿宋_GB2312"/>
          <w:sz w:val="32"/>
          <w:szCs w:val="32"/>
          <w:lang w:val="en-US" w:eastAsia="zh-CN"/>
        </w:rPr>
        <w:t>全区占比62.06%</w:t>
      </w:r>
      <w:r>
        <w:rPr>
          <w:rFonts w:hint="eastAsia" w:ascii="仿宋_GB2312" w:hAnsi="仿宋_GB2312" w:eastAsia="仿宋_GB2312" w:cs="仿宋_GB2312"/>
          <w:sz w:val="32"/>
          <w:szCs w:val="32"/>
          <w:lang w:val="en-US" w:eastAsia="zh-CN"/>
        </w:rPr>
        <w:t>；2026年</w:t>
      </w:r>
      <w:r>
        <w:rPr>
          <w:rFonts w:hint="eastAsia" w:ascii="仿宋_GB2312" w:hAnsi="仿宋_GB2312" w:cs="仿宋_GB2312"/>
          <w:sz w:val="32"/>
          <w:szCs w:val="32"/>
          <w:lang w:val="en-US" w:eastAsia="zh-CN"/>
        </w:rPr>
        <w:t>上半年</w:t>
      </w: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全市外贸进出口</w:t>
      </w:r>
      <w:r>
        <w:rPr>
          <w:rFonts w:hint="eastAsia" w:ascii="仿宋_GB2312" w:hAnsi="仿宋_GB2312" w:eastAsia="仿宋_GB2312" w:cs="仿宋_GB2312"/>
          <w:sz w:val="32"/>
          <w:szCs w:val="32"/>
          <w:lang w:val="en-US" w:eastAsia="zh-CN"/>
        </w:rPr>
        <w:t>历史同期首破400亿元，</w:t>
      </w:r>
      <w:r>
        <w:rPr>
          <w:rFonts w:hint="default" w:ascii="仿宋_GB2312" w:hAnsi="仿宋_GB2312" w:eastAsia="仿宋_GB2312" w:cs="仿宋_GB2312"/>
          <w:sz w:val="32"/>
          <w:szCs w:val="32"/>
          <w:lang w:val="en" w:eastAsia="zh-CN"/>
        </w:rPr>
        <w:t>同比增长</w:t>
      </w:r>
      <w:r>
        <w:rPr>
          <w:rFonts w:hint="eastAsia" w:ascii="仿宋_GB2312" w:hAnsi="仿宋_GB2312" w:eastAsia="仿宋_GB2312" w:cs="仿宋_GB2312"/>
          <w:sz w:val="32"/>
          <w:szCs w:val="32"/>
          <w:lang w:val="en-US" w:eastAsia="zh-CN"/>
        </w:rPr>
        <w:t>64.7</w:t>
      </w:r>
      <w:r>
        <w:rPr>
          <w:rFonts w:hint="default" w:ascii="仿宋_GB2312" w:hAnsi="仿宋_GB2312" w:eastAsia="仿宋_GB2312" w:cs="仿宋_GB2312"/>
          <w:sz w:val="32"/>
          <w:szCs w:val="32"/>
          <w:lang w:val="en" w:eastAsia="zh-CN"/>
        </w:rPr>
        <w:t>%，全区占比30.</w:t>
      </w: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 w:eastAsia="zh-CN"/>
        </w:rPr>
        <w:t>，</w:t>
      </w:r>
      <w:r>
        <w:rPr>
          <w:rFonts w:hint="default" w:ascii="仿宋_GB2312" w:hAnsi="仿宋_GB2312" w:eastAsia="仿宋_GB2312" w:cs="仿宋_GB2312"/>
          <w:sz w:val="32"/>
          <w:szCs w:val="32"/>
          <w:lang w:val="en" w:eastAsia="zh-CN"/>
        </w:rPr>
        <w:t>其中</w:t>
      </w:r>
      <w:r>
        <w:rPr>
          <w:rFonts w:hint="eastAsia" w:ascii="仿宋_GB2312" w:hAnsi="仿宋_GB2312" w:cs="仿宋_GB2312"/>
          <w:sz w:val="32"/>
          <w:szCs w:val="32"/>
          <w:lang w:val="en" w:eastAsia="zh-CN"/>
        </w:rPr>
        <w:t>农产品</w:t>
      </w:r>
      <w:r>
        <w:rPr>
          <w:rFonts w:hint="eastAsia" w:ascii="仿宋_GB2312" w:hAnsi="仿宋_GB2312" w:eastAsia="仿宋_GB2312" w:cs="仿宋_GB2312"/>
          <w:sz w:val="32"/>
          <w:szCs w:val="32"/>
          <w:lang w:val="en-US" w:eastAsia="zh-CN"/>
        </w:rPr>
        <w:t>出口46.2亿元，同比增长28.9%，全区占比62.6%，甘其毛都口岸过货量</w:t>
      </w:r>
      <w:r>
        <w:rPr>
          <w:rFonts w:hint="eastAsia" w:ascii="仿宋_GB2312" w:hAnsi="仿宋_GB2312" w:cs="仿宋_GB2312"/>
          <w:sz w:val="32"/>
          <w:szCs w:val="32"/>
          <w:lang w:val="en-US" w:eastAsia="zh-CN"/>
        </w:rPr>
        <w:t>累计完成2814.8万吨，同比增长55.4%，为开放平台升级和自贸区政策承接筑牢外向型产业底盘。</w:t>
      </w:r>
    </w:p>
    <w:p>
      <w:pPr>
        <w:bidi w:val="0"/>
        <w:rPr>
          <w:rFonts w:hint="eastAsia" w:ascii="黑体" w:hAnsi="黑体" w:eastAsia="黑体" w:cs="黑体"/>
          <w:lang w:eastAsia="zh-CN"/>
        </w:rPr>
      </w:pPr>
      <w:r>
        <w:rPr>
          <w:rFonts w:hint="eastAsia"/>
          <w:lang w:val="en-US" w:eastAsia="zh-CN"/>
        </w:rPr>
        <w:t xml:space="preserve">   </w:t>
      </w:r>
      <w:r>
        <w:rPr>
          <w:rFonts w:hint="eastAsia" w:ascii="黑体" w:hAnsi="黑体" w:eastAsia="黑体" w:cs="黑体"/>
          <w:lang w:val="en-US" w:eastAsia="zh-CN"/>
        </w:rPr>
        <w:t xml:space="preserve"> </w:t>
      </w:r>
      <w:r>
        <w:rPr>
          <w:rFonts w:hint="eastAsia" w:ascii="黑体" w:hAnsi="黑体" w:eastAsia="黑体" w:cs="黑体"/>
          <w:lang w:eastAsia="zh-CN"/>
        </w:rPr>
        <w:t>二、主要工作措施</w:t>
      </w:r>
    </w:p>
    <w:p>
      <w:pPr>
        <w:bidi w:val="0"/>
        <w:ind w:firstLine="640"/>
        <w:jc w:val="both"/>
        <w:rPr>
          <w:rFonts w:hint="eastAsia" w:ascii="仿宋_GB2312" w:hAnsi="仿宋_GB2312" w:cs="仿宋_GB2312"/>
          <w:sz w:val="32"/>
          <w:szCs w:val="32"/>
          <w:lang w:val="en-US" w:eastAsia="zh-CN"/>
        </w:rPr>
      </w:pPr>
      <w:r>
        <w:rPr>
          <w:rFonts w:hint="eastAsia" w:ascii="仿宋_GB2312" w:hAnsi="仿宋_GB2312" w:cs="仿宋_GB2312"/>
          <w:b/>
          <w:bCs/>
          <w:sz w:val="32"/>
          <w:szCs w:val="32"/>
          <w:lang w:val="en-US" w:eastAsia="zh-CN"/>
        </w:rPr>
        <w:t>一是构建多层次开放平台联动体系。</w:t>
      </w:r>
      <w:r>
        <w:rPr>
          <w:rFonts w:hint="eastAsia" w:ascii="仿宋_GB2312" w:hAnsi="仿宋_GB2312" w:cs="仿宋_GB2312"/>
          <w:sz w:val="32"/>
          <w:szCs w:val="32"/>
          <w:lang w:val="en-US" w:eastAsia="zh-CN"/>
        </w:rPr>
        <w:t>以“口岸+保税+园区”为核心，推动各类开放平台功能互补、政策叠加。将甘其毛都口岸作为融入自贸区的前沿枢纽，重点推进口岸边民互市贸易区、蒙煤电子交易平台、出境车辆服务区建设，优化整合公路、铁路、AGV物流运输模式，力争全年通关过货量增长10%以上，打造自贸区向北开放的核心通道。同时推动保税物流中心（B型）迁址口岸，复制推广自贸区“一线放开、二线安全高效管住”的监管模式，实现“口岸快速通关、保税灵活流转、园区落地加工”的全链条衔接，将通道流量转化为产业增量。</w:t>
      </w:r>
    </w:p>
    <w:p>
      <w:pPr>
        <w:bidi w:val="0"/>
        <w:ind w:firstLine="640"/>
        <w:jc w:val="both"/>
      </w:pPr>
      <w:r>
        <w:rPr>
          <w:rFonts w:hint="eastAsia"/>
          <w:b/>
          <w:bCs/>
          <w:lang w:eastAsia="zh-CN"/>
        </w:rPr>
        <w:t>二是</w:t>
      </w:r>
      <w:r>
        <w:rPr>
          <w:rFonts w:hint="eastAsia"/>
          <w:b/>
          <w:bCs/>
        </w:rPr>
        <w:t>打造特色外向型产业集群</w:t>
      </w:r>
      <w:r>
        <w:rPr>
          <w:rFonts w:hint="eastAsia"/>
          <w:b/>
          <w:bCs/>
          <w:lang w:eastAsia="zh-CN"/>
        </w:rPr>
        <w:t>。</w:t>
      </w:r>
      <w:r>
        <w:rPr>
          <w:rFonts w:hint="eastAsia"/>
        </w:rPr>
        <w:t>围绕</w:t>
      </w:r>
      <w:r>
        <w:rPr>
          <w:rFonts w:hint="eastAsia"/>
          <w:lang w:eastAsia="zh-CN"/>
        </w:rPr>
        <w:t>外贸转型升级基地建设，充分利用</w:t>
      </w:r>
      <w:r>
        <w:rPr>
          <w:rFonts w:hint="eastAsia"/>
        </w:rPr>
        <w:t>甘其毛都口岸进口煤炭、铜精粉等资源，在口岸加工园区布局精深加工项目，</w:t>
      </w:r>
      <w:r>
        <w:rPr>
          <w:rFonts w:hint="eastAsia"/>
          <w:lang w:val="en-US" w:eastAsia="zh-CN"/>
        </w:rPr>
        <w:t>保税物流、国际物流等服务与区内外进口资源产业、口岸加工园区、中蒙</w:t>
      </w:r>
      <w:r>
        <w:rPr>
          <w:rFonts w:hint="default"/>
          <w:lang w:val="en-US" w:eastAsia="zh-CN"/>
        </w:rPr>
        <w:t>甘其毛都至嘎顺苏海图</w:t>
      </w:r>
      <w:r>
        <w:rPr>
          <w:rFonts w:hint="eastAsia"/>
          <w:lang w:val="en-US" w:eastAsia="zh-CN"/>
        </w:rPr>
        <w:t>口岸跨境</w:t>
      </w:r>
      <w:r>
        <w:rPr>
          <w:rFonts w:hint="default"/>
          <w:lang w:val="en-US" w:eastAsia="zh-CN"/>
        </w:rPr>
        <w:t>铁路</w:t>
      </w:r>
      <w:r>
        <w:rPr>
          <w:rFonts w:hint="eastAsia"/>
          <w:lang w:val="en-US" w:eastAsia="zh-CN"/>
        </w:rPr>
        <w:t>紧密融合，为推进巴彦淖尔(甘其毛都)陆上边境口岸型国家物流枢纽和物流联运中心建设提供辐射带动作用，</w:t>
      </w:r>
      <w:r>
        <w:rPr>
          <w:rFonts w:hint="eastAsia"/>
        </w:rPr>
        <w:t>打造自贸区资源转化配套产业基地；</w:t>
      </w:r>
      <w:r>
        <w:rPr>
          <w:rFonts w:hint="eastAsia"/>
          <w:lang w:val="en-US" w:eastAsia="zh-CN"/>
        </w:rPr>
        <w:t>围绕“制订规划、优化布局、完善平台、健全机制”的思路，进一步加大对籽仁、番茄和脱水菜等基地相关产业的服务与扶持力度，促进农产品在保持传统出口优势的基础上不断提高核心竞争力。全面建设籽仁类产品</w:t>
      </w:r>
      <w:r>
        <w:rPr>
          <w:rFonts w:hint="eastAsia"/>
        </w:rPr>
        <w:t>技术性贸易措施研究评议基地，推广检验检疫证书“云签发”模式，帮助企业应对国际市场技术壁垒，将巴彦淖尔建设成为自贸区特色农畜产品出口核心区。</w:t>
      </w:r>
    </w:p>
    <w:p>
      <w:pPr>
        <w:bidi w:val="0"/>
        <w:ind w:firstLine="640"/>
        <w:jc w:val="both"/>
        <w:rPr>
          <w:rFonts w:hint="default"/>
          <w:lang w:val="en" w:eastAsia="zh-CN"/>
        </w:rPr>
      </w:pPr>
      <w:r>
        <w:rPr>
          <w:rFonts w:hint="eastAsia"/>
          <w:b/>
          <w:bCs/>
          <w:lang w:val="en-US" w:eastAsia="zh-CN"/>
        </w:rPr>
        <w:t>三是推动开放业态创新升级。</w:t>
      </w:r>
      <w:r>
        <w:rPr>
          <w:rFonts w:hint="eastAsia"/>
          <w:lang w:val="en-US" w:eastAsia="zh-CN"/>
        </w:rPr>
        <w:t>根据巩固传统市场、拓展新兴市场、培育周边市场的发展思路，</w:t>
      </w:r>
      <w:r>
        <w:rPr>
          <w:rFonts w:hint="eastAsia" w:ascii="仿宋_GB2312" w:hAnsi="仿宋_GB2312" w:eastAsia="仿宋_GB2312" w:cs="仿宋_GB2312"/>
          <w:sz w:val="32"/>
          <w:szCs w:val="32"/>
          <w:lang w:val="en-US" w:eastAsia="zh-CN"/>
        </w:rPr>
        <w:t>进一步扩大全市高技术产品出口规模，重点在生物制造、冶金制造、农业机械制造和新能源等领域打造新的出口增长点。通过建设跨境电商公共服务平台，进一步完善信息共享、智能物流、金融服务、风险防控、市场开拓和人才培育等服务体系建设，力争年内培育经营主体30家以上，实际交易额取得新突破。充分发挥5个自治区级公共海外仓和3个培育对象的作用，进一步提升公共服务能力，重点在压缩物流成本、简化清关流程和缩短配送时效等方面取得明显成效</w:t>
      </w:r>
      <w:r>
        <w:rPr>
          <w:rFonts w:hint="eastAsia" w:ascii="仿宋_GB2312" w:hAnsi="仿宋_GB2312" w:cs="仿宋_GB2312"/>
          <w:sz w:val="32"/>
          <w:szCs w:val="32"/>
          <w:lang w:val="en-US" w:eastAsia="zh-CN"/>
        </w:rPr>
        <w:t>。</w:t>
      </w:r>
    </w:p>
    <w:p>
      <w:pPr>
        <w:bidi w:val="0"/>
        <w:jc w:val="both"/>
        <w:rPr>
          <w:rFonts w:hint="eastAsia" w:ascii="黑体" w:hAnsi="黑体" w:eastAsia="黑体" w:cs="黑体"/>
          <w:lang w:val="en-US" w:eastAsia="zh-CN"/>
        </w:rPr>
      </w:pPr>
      <w:r>
        <w:rPr>
          <w:rFonts w:hint="eastAsia"/>
          <w:lang w:val="en-US" w:eastAsia="zh-CN"/>
        </w:rPr>
        <w:t xml:space="preserve">    </w:t>
      </w:r>
      <w:r>
        <w:rPr>
          <w:rFonts w:hint="eastAsia" w:ascii="黑体" w:hAnsi="黑体" w:eastAsia="黑体" w:cs="黑体"/>
          <w:lang w:val="en-US" w:eastAsia="zh-CN"/>
        </w:rPr>
        <w:t>三、存在的主要问题</w:t>
      </w:r>
    </w:p>
    <w:p>
      <w:pPr>
        <w:bidi w:val="0"/>
        <w:rPr>
          <w:rFonts w:hint="default" w:ascii="仿宋_GB2312" w:hAnsi="仿宋_GB2312" w:eastAsia="仿宋_GB2312" w:cs="仿宋_GB2312"/>
          <w:sz w:val="32"/>
          <w:szCs w:val="32"/>
          <w:lang w:val="en" w:eastAsia="zh-CN"/>
        </w:rPr>
      </w:pPr>
      <w:r>
        <w:rPr>
          <w:rFonts w:hint="eastAsia"/>
          <w:lang w:val="en-US" w:eastAsia="zh-CN"/>
        </w:rPr>
        <w:t xml:space="preserve">    </w:t>
      </w:r>
      <w:r>
        <w:rPr>
          <w:rFonts w:hint="eastAsia"/>
        </w:rPr>
        <w:t>对标内蒙古自贸区的建设要求，</w:t>
      </w:r>
      <w:r>
        <w:rPr>
          <w:rFonts w:hint="eastAsia"/>
          <w:lang w:eastAsia="zh-CN"/>
        </w:rPr>
        <w:t>全市</w:t>
      </w:r>
      <w:r>
        <w:rPr>
          <w:rFonts w:hint="eastAsia"/>
        </w:rPr>
        <w:t>的开放平台仍存在明显短板：一是平台之间联动不足，</w:t>
      </w:r>
      <w:r>
        <w:rPr>
          <w:rFonts w:hint="eastAsia" w:ascii="仿宋_GB2312" w:hAnsi="仿宋_GB2312" w:eastAsia="仿宋_GB2312" w:cs="仿宋_GB2312"/>
        </w:rPr>
        <w:t>口岸、保税物流中心</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B</w:t>
      </w:r>
      <w:r>
        <w:rPr>
          <w:rFonts w:hint="eastAsia"/>
          <w:lang w:val="en-US" w:eastAsia="zh-CN"/>
        </w:rPr>
        <w:t>型</w:t>
      </w:r>
      <w:r>
        <w:rPr>
          <w:rFonts w:hint="eastAsia"/>
          <w:lang w:eastAsia="zh-CN"/>
        </w:rPr>
        <w:t>）</w:t>
      </w:r>
      <w:r>
        <w:rPr>
          <w:rFonts w:hint="eastAsia"/>
        </w:rPr>
        <w:t>、产业园区之间尚未形成高效的政策协同机制，“通道经济”特征突出，进口资源精深加工转化率偏低；二是开放业态相对单一，外贸结构仍以大宗矿产品进口和初级农产品出口为主，跨境电商等新业态规模偏小，跨境电商交易额占外贸总额比重不足</w:t>
      </w:r>
      <w:r>
        <w:rPr>
          <w:rFonts w:hint="eastAsia" w:ascii="仿宋_GB2312" w:hAnsi="仿宋_GB2312" w:eastAsia="仿宋_GB2312" w:cs="仿宋_GB2312"/>
          <w:lang w:val="en-US" w:eastAsia="zh-CN"/>
        </w:rPr>
        <w:t>1</w:t>
      </w:r>
      <w:r>
        <w:rPr>
          <w:rFonts w:hint="eastAsia" w:ascii="仿宋_GB2312" w:hAnsi="仿宋_GB2312" w:eastAsia="仿宋_GB2312" w:cs="仿宋_GB2312"/>
        </w:rPr>
        <w:t>%；</w:t>
      </w:r>
      <w:r>
        <w:rPr>
          <w:rFonts w:hint="eastAsia"/>
        </w:rPr>
        <w:t>三是制度创新能力薄弱，自贸区核心的贸易便利化改革试点</w:t>
      </w:r>
      <w:r>
        <w:rPr>
          <w:rFonts w:hint="eastAsia"/>
          <w:lang w:eastAsia="zh-CN"/>
        </w:rPr>
        <w:t>在我市</w:t>
      </w:r>
      <w:r>
        <w:rPr>
          <w:rFonts w:hint="eastAsia"/>
        </w:rPr>
        <w:t>覆盖范围有限，部分口岸监管模式、保税政策尚未完全落地，开放平台的政策红利未能充分释放；四是对外开放</w:t>
      </w:r>
      <w:r>
        <w:rPr>
          <w:rFonts w:hint="eastAsia"/>
          <w:lang w:eastAsia="zh-CN"/>
        </w:rPr>
        <w:t>平台</w:t>
      </w:r>
      <w:r>
        <w:rPr>
          <w:rFonts w:hint="eastAsia"/>
        </w:rPr>
        <w:t>的配套支撑不足，国际化人才储备、涉外法律服务体系、跨境金融服务能力难以满足</w:t>
      </w:r>
      <w:r>
        <w:rPr>
          <w:rFonts w:hint="eastAsia"/>
          <w:lang w:eastAsia="zh-CN"/>
        </w:rPr>
        <w:t>融入</w:t>
      </w:r>
      <w:r>
        <w:rPr>
          <w:rFonts w:hint="eastAsia"/>
        </w:rPr>
        <w:t>自贸区建设的需求。</w:t>
      </w:r>
    </w:p>
    <w:p>
      <w:pPr>
        <w:bidi w:val="0"/>
        <w:rPr>
          <w:rFonts w:hint="eastAsia" w:ascii="黑体" w:hAnsi="黑体" w:eastAsia="黑体" w:cs="黑体"/>
        </w:rPr>
      </w:pPr>
      <w:r>
        <w:rPr>
          <w:rFonts w:hint="eastAsia"/>
          <w:lang w:val="en-US" w:eastAsia="zh-CN"/>
        </w:rPr>
        <w:t xml:space="preserve">   </w:t>
      </w:r>
      <w:r>
        <w:rPr>
          <w:rFonts w:hint="eastAsia" w:ascii="黑体" w:hAnsi="黑体" w:eastAsia="黑体" w:cs="黑体"/>
          <w:lang w:val="en-US" w:eastAsia="zh-CN"/>
        </w:rPr>
        <w:t xml:space="preserve"> 四、</w:t>
      </w:r>
      <w:r>
        <w:rPr>
          <w:rFonts w:hint="eastAsia" w:ascii="黑体" w:hAnsi="黑体" w:eastAsia="黑体" w:cs="黑体"/>
        </w:rPr>
        <w:t>保障措施与预期成效</w:t>
      </w:r>
    </w:p>
    <w:p>
      <w:pPr>
        <w:bidi w:val="0"/>
      </w:pPr>
      <w:r>
        <w:rPr>
          <w:rFonts w:hint="eastAsia"/>
          <w:lang w:val="en-US" w:eastAsia="zh-CN"/>
        </w:rPr>
        <w:t xml:space="preserve">    </w:t>
      </w:r>
      <w:r>
        <w:rPr>
          <w:rFonts w:hint="eastAsia"/>
        </w:rPr>
        <w:t>为</w:t>
      </w:r>
      <w:r>
        <w:rPr>
          <w:rFonts w:hint="eastAsia"/>
          <w:lang w:eastAsia="zh-CN"/>
        </w:rPr>
        <w:t>不断</w:t>
      </w:r>
      <w:r>
        <w:rPr>
          <w:rFonts w:hint="default"/>
          <w:lang w:val="en-US" w:eastAsia="zh-CN"/>
        </w:rPr>
        <w:t>提升</w:t>
      </w:r>
      <w:r>
        <w:rPr>
          <w:rFonts w:hint="eastAsia"/>
          <w:lang w:val="en-US" w:eastAsia="zh-CN"/>
        </w:rPr>
        <w:t>开放</w:t>
      </w:r>
      <w:r>
        <w:rPr>
          <w:rFonts w:hint="default"/>
          <w:lang w:val="en-US" w:eastAsia="zh-CN"/>
        </w:rPr>
        <w:t>平台承载能力</w:t>
      </w:r>
      <w:r>
        <w:rPr>
          <w:rFonts w:hint="eastAsia"/>
          <w:lang w:val="en-US" w:eastAsia="zh-CN"/>
        </w:rPr>
        <w:t>和运营能力，</w:t>
      </w:r>
      <w:r>
        <w:rPr>
          <w:rFonts w:hint="eastAsia"/>
        </w:rPr>
        <w:t>保障各项</w:t>
      </w:r>
      <w:r>
        <w:rPr>
          <w:rFonts w:hint="eastAsia"/>
          <w:lang w:eastAsia="zh-CN"/>
        </w:rPr>
        <w:t>相关</w:t>
      </w:r>
      <w:r>
        <w:rPr>
          <w:rFonts w:hint="eastAsia"/>
        </w:rPr>
        <w:t>任务落地，</w:t>
      </w:r>
      <w:r>
        <w:rPr>
          <w:rFonts w:hint="eastAsia"/>
          <w:lang w:eastAsia="zh-CN"/>
        </w:rPr>
        <w:t>探索</w:t>
      </w:r>
      <w:r>
        <w:rPr>
          <w:rFonts w:hint="eastAsia"/>
        </w:rPr>
        <w:t>建立三项配套机制：一是建立自贸区对接专项工作组，统筹商务、</w:t>
      </w:r>
      <w:r>
        <w:rPr>
          <w:rFonts w:hint="eastAsia"/>
          <w:lang w:eastAsia="zh-CN"/>
        </w:rPr>
        <w:t>海关、税务、财政</w:t>
      </w:r>
      <w:r>
        <w:rPr>
          <w:rFonts w:hint="eastAsia"/>
        </w:rPr>
        <w:t>等部门形成协同推进机制，将自贸区复制推广的改革任务逐项分解落地；二是强化资金与人才保障，设立开放平台建设专项基金，引进涉外法律、跨境金融、国际贸易等领域的专业人才，补齐开放配套短板；三是深化</w:t>
      </w:r>
      <w:r>
        <w:rPr>
          <w:rFonts w:hint="eastAsia"/>
          <w:lang w:eastAsia="zh-CN"/>
        </w:rPr>
        <w:t>对蒙对俄经贸</w:t>
      </w:r>
      <w:r>
        <w:rPr>
          <w:rFonts w:hint="eastAsia"/>
        </w:rPr>
        <w:t>合作，吸引外资参与开放平台建设，提升产业国际化水平。</w:t>
      </w:r>
    </w:p>
    <w:p>
      <w:pPr>
        <w:bidi w:val="0"/>
        <w:ind w:firstLine="640"/>
        <w:jc w:val="both"/>
        <w:rPr>
          <w:rFonts w:hint="eastAsia"/>
          <w:lang w:val="en-US" w:eastAsia="zh-CN"/>
        </w:rPr>
      </w:pPr>
      <w:r>
        <w:rPr>
          <w:rFonts w:hint="eastAsia"/>
        </w:rPr>
        <w:t>通过系列举措推进，</w:t>
      </w:r>
      <w:r>
        <w:rPr>
          <w:rFonts w:hint="eastAsia" w:ascii="仿宋_GB2312" w:hAnsi="仿宋_GB2312" w:eastAsia="仿宋_GB2312" w:cs="仿宋_GB2312"/>
        </w:rPr>
        <w:t>预计到2027年，</w:t>
      </w:r>
      <w:r>
        <w:rPr>
          <w:rFonts w:hint="eastAsia" w:ascii="仿宋_GB2312" w:hAnsi="仿宋_GB2312" w:cs="仿宋_GB2312"/>
          <w:lang w:eastAsia="zh-CN"/>
        </w:rPr>
        <w:t>全市</w:t>
      </w:r>
      <w:r>
        <w:rPr>
          <w:rFonts w:hint="eastAsia"/>
        </w:rPr>
        <w:t>将全面形成与内蒙古自贸区深度衔接的开放政策体系，</w:t>
      </w:r>
      <w:r>
        <w:rPr>
          <w:rFonts w:hint="eastAsia" w:ascii="仿宋_GB2312" w:hAnsi="仿宋_GB2312" w:eastAsia="仿宋_GB2312" w:cs="仿宋_GB2312"/>
        </w:rPr>
        <w:t>建成3-5个特色鲜明的外向型产业集群，真正将区位优势、平台优势转化为发展</w:t>
      </w:r>
      <w:r>
        <w:rPr>
          <w:rFonts w:hint="eastAsia"/>
        </w:rPr>
        <w:t>优势，为</w:t>
      </w:r>
      <w:r>
        <w:rPr>
          <w:rFonts w:hint="eastAsia"/>
          <w:lang w:eastAsia="zh-CN"/>
        </w:rPr>
        <w:t>融入内蒙古自贸区建设</w:t>
      </w:r>
      <w:r>
        <w:rPr>
          <w:rFonts w:hint="eastAsia"/>
        </w:rPr>
        <w:t>提供坚实支撑。</w:t>
      </w:r>
      <w:r>
        <w:rPr>
          <w:rFonts w:hint="eastAsia"/>
          <w:lang w:val="en-US" w:eastAsia="zh-CN"/>
        </w:rPr>
        <w:t>下一步</w:t>
      </w:r>
    </w:p>
    <w:p>
      <w:pPr>
        <w:bidi w:val="0"/>
        <w:jc w:val="both"/>
        <w:rPr>
          <w:rFonts w:hint="eastAsia" w:ascii="仿宋_GB2312" w:hAnsi="仿宋_GB2312" w:eastAsia="仿宋_GB2312" w:cs="仿宋_GB2312"/>
          <w:kern w:val="2"/>
          <w:sz w:val="32"/>
          <w:szCs w:val="32"/>
          <w:lang w:val="en" w:eastAsia="zh-CN" w:bidi="ar-SA"/>
        </w:rPr>
      </w:pPr>
      <w:r>
        <w:rPr>
          <w:rFonts w:hint="eastAsia"/>
          <w:lang w:val="en-US" w:eastAsia="zh-CN"/>
        </w:rPr>
        <w:t>我局将</w:t>
      </w:r>
      <w:r>
        <w:rPr>
          <w:rFonts w:hint="default"/>
          <w:lang w:val="en-US" w:eastAsia="zh-CN"/>
        </w:rPr>
        <w:t>持续加强与自治区</w:t>
      </w:r>
      <w:r>
        <w:rPr>
          <w:rFonts w:hint="eastAsia"/>
          <w:lang w:val="en-US" w:eastAsia="zh-CN"/>
        </w:rPr>
        <w:t>商务厅</w:t>
      </w:r>
      <w:r>
        <w:rPr>
          <w:rFonts w:hint="default"/>
          <w:lang w:val="en-US" w:eastAsia="zh-CN"/>
        </w:rPr>
        <w:t>的沟通对接，动态掌握</w:t>
      </w:r>
      <w:r>
        <w:rPr>
          <w:rFonts w:hint="eastAsia"/>
          <w:lang w:val="en-US" w:eastAsia="zh-CN"/>
        </w:rPr>
        <w:t>内蒙古自贸区</w:t>
      </w:r>
      <w:r>
        <w:rPr>
          <w:rFonts w:hint="default"/>
          <w:lang w:val="en-US" w:eastAsia="zh-CN"/>
        </w:rPr>
        <w:t>最新进展，</w:t>
      </w:r>
      <w:r>
        <w:rPr>
          <w:rFonts w:hint="eastAsia"/>
          <w:lang w:val="en-US" w:eastAsia="zh-CN"/>
        </w:rPr>
        <w:t>及时</w:t>
      </w:r>
      <w:r>
        <w:rPr>
          <w:rFonts w:hint="default"/>
          <w:lang w:val="en-US" w:eastAsia="zh-CN"/>
        </w:rPr>
        <w:t>了解自治区对</w:t>
      </w:r>
      <w:r>
        <w:rPr>
          <w:rFonts w:hint="eastAsia"/>
          <w:lang w:val="en-US" w:eastAsia="zh-CN"/>
        </w:rPr>
        <w:t>联动发展区</w:t>
      </w:r>
      <w:r>
        <w:rPr>
          <w:rFonts w:hint="default"/>
          <w:lang w:val="en-US" w:eastAsia="zh-CN"/>
        </w:rPr>
        <w:t>的总体要求、功能定位、主要任务和措施等，主动承接改革任务，创新改革举措，争取形成一批我市可复制推广成果</w:t>
      </w:r>
      <w:r>
        <w:rPr>
          <w:rFonts w:hint="eastAsia"/>
          <w:lang w:val="en-US" w:eastAsia="zh-CN"/>
        </w:rPr>
        <w:t>并</w:t>
      </w:r>
      <w:r>
        <w:rPr>
          <w:rFonts w:hint="default"/>
          <w:lang w:val="en-US" w:eastAsia="zh-CN"/>
        </w:rPr>
        <w:t>形成典型经验和亮点工作。</w:t>
      </w:r>
      <w:r>
        <w:rPr>
          <w:rFonts w:hint="eastAsia"/>
          <w:lang w:val="en" w:eastAsia="zh-CN"/>
        </w:rPr>
        <w:t>欢迎您对我们的工作多提宝贵意见，希望今后继续得到您更多关注和支持。</w:t>
      </w:r>
    </w:p>
    <w:p>
      <w:pPr>
        <w:pStyle w:val="2"/>
        <w:rPr>
          <w:rFonts w:hint="eastAsia" w:ascii="仿宋_GB2312" w:hAnsi="仿宋_GB2312" w:eastAsia="仿宋_GB2312" w:cs="仿宋_GB2312"/>
          <w:kern w:val="2"/>
          <w:sz w:val="32"/>
          <w:szCs w:val="32"/>
          <w:lang w:val="en" w:eastAsia="zh-CN" w:bidi="ar-SA"/>
        </w:rPr>
      </w:pPr>
    </w:p>
    <w:p>
      <w:pPr>
        <w:pStyle w:val="2"/>
        <w:rPr>
          <w:rFonts w:hint="eastAsia" w:ascii="仿宋_GB2312" w:hAnsi="仿宋_GB2312" w:cs="仿宋_GB2312"/>
          <w:kern w:val="2"/>
          <w:sz w:val="32"/>
          <w:szCs w:val="32"/>
          <w:lang w:val="en" w:eastAsia="zh-CN" w:bidi="ar-SA"/>
        </w:rPr>
      </w:pPr>
      <w:r>
        <w:rPr>
          <w:rFonts w:hint="eastAsia" w:ascii="仿宋_GB2312" w:hAnsi="仿宋_GB2312" w:cs="仿宋_GB2312"/>
          <w:kern w:val="2"/>
          <w:sz w:val="32"/>
          <w:szCs w:val="32"/>
          <w:lang w:val="en-US" w:eastAsia="zh-CN" w:bidi="ar-SA"/>
        </w:rPr>
        <w:t xml:space="preserve">                     </w:t>
      </w:r>
      <w:r>
        <w:rPr>
          <w:rFonts w:hint="eastAsia" w:ascii="仿宋_GB2312" w:hAnsi="仿宋_GB2312" w:cs="仿宋_GB2312"/>
          <w:kern w:val="2"/>
          <w:sz w:val="32"/>
          <w:szCs w:val="32"/>
          <w:lang w:val="en" w:eastAsia="zh-CN" w:bidi="ar-SA"/>
        </w:rPr>
        <w:t>承办单位：巴彦淖尔市商务局</w:t>
      </w:r>
    </w:p>
    <w:p>
      <w:pPr>
        <w:pStyle w:val="2"/>
        <w:rPr>
          <w:rFonts w:hint="eastAsia" w:ascii="仿宋_GB2312" w:hAnsi="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 xml:space="preserve">                          2026年7月30日</w:t>
      </w:r>
    </w:p>
    <w:p>
      <w:pPr>
        <w:pStyle w:val="2"/>
        <w:rPr>
          <w:rFonts w:hint="eastAsia" w:ascii="仿宋_GB2312" w:hAnsi="仿宋_GB2312" w:cs="仿宋_GB2312"/>
          <w:kern w:val="2"/>
          <w:sz w:val="32"/>
          <w:szCs w:val="32"/>
          <w:lang w:val="en-US" w:eastAsia="zh-CN" w:bidi="ar-SA"/>
        </w:rPr>
      </w:pPr>
    </w:p>
    <w:p>
      <w:pPr>
        <w:pStyle w:val="2"/>
        <w:rPr>
          <w:rFonts w:hint="eastAsia" w:ascii="仿宋_GB2312" w:hAnsi="仿宋_GB2312" w:cs="仿宋_GB2312"/>
          <w:kern w:val="2"/>
          <w:sz w:val="32"/>
          <w:szCs w:val="32"/>
          <w:lang w:val="en-US" w:eastAsia="zh-CN" w:bidi="ar-SA"/>
        </w:rPr>
      </w:pPr>
    </w:p>
    <w:p>
      <w:pPr>
        <w:pStyle w:val="2"/>
        <w:rPr>
          <w:rFonts w:hint="eastAsia" w:ascii="仿宋_GB2312" w:hAnsi="仿宋_GB2312" w:cs="仿宋_GB2312"/>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签发人：乌德木</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承办人：杨俊伟</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kern w:val="2"/>
          <w:sz w:val="32"/>
          <w:szCs w:val="32"/>
          <w:lang w:val="en-US" w:eastAsia="zh-CN" w:bidi="ar-SA"/>
        </w:rPr>
        <w:t>电  话：18647829063</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lN2JjNzEyMzBhMzM0NGMxYTNkMGEwYzM2NWMyMzkifQ=="/>
  </w:docVars>
  <w:rsids>
    <w:rsidRoot w:val="00000000"/>
    <w:rsid w:val="00C47AA1"/>
    <w:rsid w:val="01063DFF"/>
    <w:rsid w:val="174D7B65"/>
    <w:rsid w:val="1A8442F6"/>
    <w:rsid w:val="2D3C072C"/>
    <w:rsid w:val="33F86809"/>
    <w:rsid w:val="39CB16E9"/>
    <w:rsid w:val="3A0F17C5"/>
    <w:rsid w:val="3BC457CF"/>
    <w:rsid w:val="3FCB79AF"/>
    <w:rsid w:val="3FD31AA8"/>
    <w:rsid w:val="4C34785D"/>
    <w:rsid w:val="52274412"/>
    <w:rsid w:val="55D57EAF"/>
    <w:rsid w:val="57FF0EC9"/>
    <w:rsid w:val="5BEF6D3A"/>
    <w:rsid w:val="5D6FE823"/>
    <w:rsid w:val="5EF83D47"/>
    <w:rsid w:val="65FE1765"/>
    <w:rsid w:val="69BC6D27"/>
    <w:rsid w:val="6F8F90DA"/>
    <w:rsid w:val="712C28E7"/>
    <w:rsid w:val="76D07C88"/>
    <w:rsid w:val="787B497F"/>
    <w:rsid w:val="7DEEC373"/>
    <w:rsid w:val="7F63B4CE"/>
    <w:rsid w:val="7F7F9487"/>
    <w:rsid w:val="7F7FE604"/>
    <w:rsid w:val="7FBF840F"/>
    <w:rsid w:val="7FFE95AA"/>
    <w:rsid w:val="BAFF1982"/>
    <w:rsid w:val="BCEF5980"/>
    <w:rsid w:val="BF5D7A1B"/>
    <w:rsid w:val="CDEBD3A8"/>
    <w:rsid w:val="DFF1D3EC"/>
    <w:rsid w:val="DFF47B51"/>
    <w:rsid w:val="E5AE92B0"/>
    <w:rsid w:val="EAFE222D"/>
    <w:rsid w:val="EFFF50D2"/>
    <w:rsid w:val="F7772CA2"/>
    <w:rsid w:val="F7EA3566"/>
    <w:rsid w:val="FCAF143A"/>
    <w:rsid w:val="FE3F4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eastAsia="仿宋_GB2312" w:asciiTheme="minorAscii" w:hAnsiTheme="minorAscii" w:cstheme="minorBidi"/>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jc w:val="center"/>
      <w:outlineLvl w:val="0"/>
    </w:pPr>
    <w:rPr>
      <w:rFonts w:eastAsia="方正小标宋简体"/>
      <w:b/>
      <w:kern w:val="44"/>
      <w:sz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360" w:lineRule="auto"/>
      <w:outlineLvl w:val="1"/>
    </w:pPr>
    <w:rPr>
      <w:rFonts w:ascii="Arial" w:hAnsi="Arial" w:eastAsia="黑体"/>
      <w:b/>
    </w:rPr>
  </w:style>
  <w:style w:type="paragraph" w:styleId="5">
    <w:name w:val="heading 3"/>
    <w:basedOn w:val="1"/>
    <w:next w:val="1"/>
    <w:semiHidden/>
    <w:unhideWhenUsed/>
    <w:qFormat/>
    <w:uiPriority w:val="0"/>
    <w:pPr>
      <w:keepNext/>
      <w:keepLines/>
      <w:spacing w:before="120" w:beforeLines="0" w:beforeAutospacing="0" w:after="120" w:afterLines="0" w:afterAutospacing="0" w:line="240" w:lineRule="auto"/>
      <w:outlineLvl w:val="2"/>
    </w:pPr>
    <w:rPr>
      <w:rFonts w:eastAsia="楷体"/>
      <w:b/>
    </w:rPr>
  </w:style>
  <w:style w:type="paragraph" w:styleId="6">
    <w:name w:val="heading 4"/>
    <w:basedOn w:val="1"/>
    <w:next w:val="1"/>
    <w:semiHidden/>
    <w:unhideWhenUsed/>
    <w:qFormat/>
    <w:uiPriority w:val="0"/>
    <w:pPr>
      <w:keepNext/>
      <w:keepLines/>
      <w:spacing w:before="280" w:beforeLines="0" w:beforeAutospacing="0" w:after="290" w:afterLines="0" w:afterAutospacing="0" w:line="240" w:lineRule="auto"/>
      <w:outlineLvl w:val="3"/>
    </w:pPr>
    <w:rPr>
      <w:rFonts w:ascii="Arial" w:hAnsi="Arial" w:eastAsia="仿宋_GB2312"/>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2">
    <w:name w:val="UserStyle_0"/>
    <w:basedOn w:val="1"/>
    <w:next w:val="1"/>
    <w:qFormat/>
    <w:uiPriority w:val="0"/>
    <w:pPr>
      <w:ind w:left="131"/>
      <w:textAlignment w:val="baseline"/>
    </w:pPr>
    <w:rPr>
      <w:rFonts w:ascii="Times New Roman" w:hAnsi="Times New Roman" w:eastAsia="宋体" w:cs="Times New Roman"/>
      <w:sz w:val="34"/>
      <w:szCs w:val="34"/>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775</Words>
  <Characters>783</Characters>
  <Lines>0</Lines>
  <Paragraphs>0</Paragraphs>
  <TotalTime>0</TotalTime>
  <ScaleCrop>false</ScaleCrop>
  <LinksUpToDate>false</LinksUpToDate>
  <CharactersWithSpaces>783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2021-11-28T09:08:00Z</dcterms:created>
  <dc:creator>Shan</dc:creator>
  <cp:lastModifiedBy>user</cp:lastModifiedBy>
  <cp:lastPrinted>2022-06-02T15:21:00Z</cp:lastPrinted>
  <dcterms:modified xsi:type="dcterms:W3CDTF">2026-07-30T10:29:20Z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0C971B89470241D59230839303AAC7E2</vt:lpwstr>
  </property>
</Properties>
</file>