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Times New Roman" w:eastAsia="方正小标宋简体"/>
          <w:sz w:val="44"/>
          <w:szCs w:val="44"/>
          <w:lang w:val="en-US" w:eastAsia="zh-CN"/>
        </w:rPr>
      </w:pPr>
      <w:r>
        <w:rPr>
          <w:rFonts w:hint="eastAsia" w:ascii="方正小标宋简体" w:hAnsi="Times New Roman" w:eastAsia="方正小标宋简体"/>
          <w:sz w:val="44"/>
          <w:szCs w:val="44"/>
        </w:rPr>
        <w:t>关于</w:t>
      </w:r>
      <w:r>
        <w:rPr>
          <w:rFonts w:hint="eastAsia" w:ascii="方正小标宋简体" w:hAnsi="Times New Roman" w:eastAsia="方正小标宋简体"/>
          <w:sz w:val="44"/>
          <w:szCs w:val="44"/>
          <w:lang w:eastAsia="zh-CN"/>
        </w:rPr>
        <w:t>对市政协五届六次</w:t>
      </w:r>
      <w:r>
        <w:rPr>
          <w:rFonts w:hint="eastAsia" w:ascii="方正小标宋简体" w:hAnsi="Times New Roman" w:eastAsia="方正小标宋简体"/>
          <w:sz w:val="44"/>
          <w:szCs w:val="44"/>
          <w:lang w:val="en-US" w:eastAsia="zh-CN"/>
        </w:rPr>
        <w:t>会议</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ascii="仿宋" w:hAnsi="仿宋" w:eastAsia="仿宋"/>
          <w:sz w:val="32"/>
          <w:szCs w:val="32"/>
        </w:rPr>
      </w:pPr>
      <w:r>
        <w:rPr>
          <w:rFonts w:hint="eastAsia" w:ascii="方正小标宋简体" w:hAnsi="Times New Roman" w:eastAsia="方正小标宋简体"/>
          <w:sz w:val="44"/>
          <w:szCs w:val="44"/>
          <w:lang w:val="en-US" w:eastAsia="zh-CN"/>
        </w:rPr>
        <w:t>第004号</w:t>
      </w:r>
      <w:r>
        <w:rPr>
          <w:rFonts w:hint="eastAsia" w:ascii="方正小标宋简体" w:hAnsi="Times New Roman" w:eastAsia="方正小标宋简体"/>
          <w:sz w:val="44"/>
          <w:szCs w:val="44"/>
        </w:rPr>
        <w:t>提案的</w:t>
      </w:r>
      <w:r>
        <w:rPr>
          <w:rFonts w:hint="eastAsia" w:ascii="方正小标宋简体" w:hAnsi="Times New Roman" w:eastAsia="方正小标宋简体"/>
          <w:sz w:val="44"/>
          <w:szCs w:val="44"/>
          <w:lang w:eastAsia="zh-CN"/>
        </w:rPr>
        <w:t>答复</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周永为</w:t>
      </w:r>
      <w:r>
        <w:rPr>
          <w:rFonts w:hint="default" w:ascii="Times New Roman" w:hAnsi="Times New Roman" w:eastAsia="仿宋_GB2312" w:cs="Times New Roman"/>
          <w:sz w:val="32"/>
          <w:szCs w:val="32"/>
        </w:rPr>
        <w:t>委员：</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5"/>
        <w:jc w:val="left"/>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32"/>
          <w:lang w:eastAsia="zh-CN"/>
        </w:rPr>
        <w:t>您</w:t>
      </w:r>
      <w:r>
        <w:rPr>
          <w:rFonts w:hint="default" w:ascii="Times New Roman" w:hAnsi="Times New Roman" w:eastAsia="仿宋_GB2312" w:cs="Times New Roman"/>
          <w:sz w:val="32"/>
          <w:szCs w:val="32"/>
        </w:rPr>
        <w:t>提出的《</w:t>
      </w:r>
      <w:r>
        <w:rPr>
          <w:rFonts w:hint="default" w:ascii="Times New Roman" w:hAnsi="Times New Roman" w:eastAsia="仿宋_GB2312" w:cs="Times New Roman"/>
          <w:sz w:val="32"/>
          <w:szCs w:val="32"/>
          <w:lang w:eastAsia="zh-CN"/>
        </w:rPr>
        <w:t>关于助推“以旧换新”打造消费新动能的提案</w:t>
      </w:r>
      <w:r>
        <w:rPr>
          <w:rFonts w:hint="default" w:ascii="Times New Roman" w:hAnsi="Times New Roman" w:eastAsia="仿宋_GB2312" w:cs="Times New Roman"/>
          <w:sz w:val="32"/>
          <w:szCs w:val="32"/>
        </w:rPr>
        <w:t>》收悉，</w:t>
      </w:r>
      <w:r>
        <w:rPr>
          <w:rFonts w:hint="default" w:ascii="Times New Roman" w:hAnsi="Times New Roman" w:eastAsia="仿宋_GB2312" w:cs="Times New Roman"/>
          <w:sz w:val="32"/>
          <w:szCs w:val="32"/>
          <w:lang w:eastAsia="zh-CN"/>
        </w:rPr>
        <w:t>现</w:t>
      </w:r>
      <w:r>
        <w:rPr>
          <w:rFonts w:hint="default" w:ascii="Times New Roman" w:hAnsi="Times New Roman" w:eastAsia="仿宋_GB2312" w:cs="Times New Roman"/>
          <w:sz w:val="32"/>
          <w:szCs w:val="32"/>
        </w:rPr>
        <w:t>如下答复：</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    一、提升认知度，引导绿色消费新时尚</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楷体_GB2312" w:cs="Times New Roman"/>
          <w:b/>
          <w:bCs/>
          <w:kern w:val="2"/>
          <w:sz w:val="32"/>
          <w:szCs w:val="32"/>
          <w:lang w:val="en-US" w:eastAsia="zh-CN" w:bidi="ar-SA"/>
        </w:rPr>
        <w:t>（一）线上线下联动宣传。</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rPr>
        <w:t>通过“河套微传媒”“巴彦淖尔日报”等本地媒体发布政策图解、短</w:t>
      </w:r>
      <w:bookmarkStart w:id="0" w:name="_GoBack"/>
      <w:bookmarkEnd w:id="0"/>
      <w:r>
        <w:rPr>
          <w:rFonts w:hint="default" w:ascii="Times New Roman" w:hAnsi="Times New Roman" w:eastAsia="仿宋_GB2312" w:cs="Times New Roman"/>
          <w:sz w:val="32"/>
          <w:szCs w:val="32"/>
        </w:rPr>
        <w:t>视频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企事业单位渗透宣传。在全市企事业单位内放置以旧换新宣传展架，</w:t>
      </w:r>
      <w:r>
        <w:rPr>
          <w:rFonts w:hint="default" w:ascii="Times New Roman" w:hAnsi="Times New Roman" w:eastAsia="仿宋_GB2312" w:cs="Times New Roman"/>
          <w:sz w:val="32"/>
          <w:szCs w:val="32"/>
        </w:rPr>
        <w:t>定向</w:t>
      </w:r>
      <w:r>
        <w:rPr>
          <w:rFonts w:hint="default" w:ascii="Times New Roman" w:hAnsi="Times New Roman" w:eastAsia="仿宋_GB2312" w:cs="Times New Roman"/>
          <w:sz w:val="32"/>
          <w:szCs w:val="32"/>
          <w:lang w:eastAsia="zh-CN"/>
        </w:rPr>
        <w:t>推送政策至</w:t>
      </w:r>
      <w:r>
        <w:rPr>
          <w:rFonts w:hint="default" w:ascii="Times New Roman" w:hAnsi="Times New Roman" w:eastAsia="仿宋_GB2312" w:cs="Times New Roman"/>
          <w:sz w:val="32"/>
          <w:szCs w:val="32"/>
        </w:rPr>
        <w:t>干部职工</w:t>
      </w:r>
      <w:r>
        <w:rPr>
          <w:rFonts w:hint="default" w:ascii="Times New Roman" w:hAnsi="Times New Roman" w:eastAsia="仿宋_GB2312" w:cs="Times New Roman"/>
          <w:b w:val="0"/>
          <w:bCs w:val="0"/>
          <w:kern w:val="2"/>
          <w:sz w:val="32"/>
          <w:szCs w:val="32"/>
          <w:lang w:val="en-US" w:eastAsia="zh-CN" w:bidi="ar-SA"/>
        </w:rPr>
        <w:t>,提高政策在干部职工群体中的知晓度。</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b w:val="0"/>
          <w:bCs w:val="0"/>
          <w:kern w:val="2"/>
          <w:sz w:val="32"/>
          <w:szCs w:val="32"/>
          <w:lang w:val="en-US" w:eastAsia="zh-CN" w:bidi="ar-SA"/>
        </w:rPr>
        <w:t>联动企业端加强宣传。组织参与以旧换新活动企业在门店大屏滚动播放活动广告，在店内显眼位置张贴宣传海报。同时，开展面向企业业务人员的专项培训，要求熟练掌握政策细节，为消费者提供专业、准确的咨询解答服务。</w:t>
      </w:r>
      <w:r>
        <w:rPr>
          <w:rFonts w:hint="default" w:ascii="Times New Roman" w:hAnsi="Times New Roman" w:eastAsia="仿宋_GB2312" w:cs="Times New Roman"/>
          <w:b/>
          <w:bCs/>
          <w:kern w:val="2"/>
          <w:sz w:val="32"/>
          <w:szCs w:val="32"/>
          <w:lang w:val="en-US" w:eastAsia="zh-CN" w:bidi="ar-SA"/>
        </w:rPr>
        <w:t>四是</w:t>
      </w:r>
      <w:r>
        <w:rPr>
          <w:rFonts w:hint="default" w:ascii="Times New Roman" w:hAnsi="Times New Roman" w:eastAsia="仿宋_GB2312" w:cs="Times New Roman"/>
          <w:b w:val="0"/>
          <w:bCs w:val="0"/>
          <w:kern w:val="2"/>
          <w:sz w:val="32"/>
          <w:szCs w:val="32"/>
          <w:lang w:val="en-US" w:eastAsia="zh-CN" w:bidi="ar-SA"/>
        </w:rPr>
        <w:t>多形式开展政策宣传。指导各旗县区积极推进进社区宣传工作，在社区活动中心、小区广场等人流量较大区域摆放宣传展板，利用公告栏、小区电梯发布政策海报，通过面对面讲解、现场答疑等方式，将以旧换新政策送到群众家门口，累计服务群众超14000人次。</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（二）开展“以旧换新下乡入村”活动。</w:t>
      </w:r>
      <w:r>
        <w:rPr>
          <w:rFonts w:hint="default" w:ascii="Times New Roman" w:hAnsi="Times New Roman" w:eastAsia="仿宋_GB2312" w:cs="Times New Roman"/>
          <w:kern w:val="0"/>
          <w:sz w:val="32"/>
          <w:szCs w:val="32"/>
          <w:lang w:val="en-US" w:eastAsia="zh-CN" w:bidi="ar"/>
        </w:rPr>
        <w:t>考虑到农村老人多，消息闭塞，宣传途径单一的实际，为了让广大农村基层群众更好的享受到国家的好政策、优惠政策，</w:t>
      </w:r>
      <w:r>
        <w:rPr>
          <w:rFonts w:hint="default" w:ascii="Times New Roman" w:hAnsi="Times New Roman" w:eastAsia="仿宋_GB2312" w:cs="Times New Roman"/>
          <w:sz w:val="32"/>
          <w:szCs w:val="32"/>
        </w:rPr>
        <w:t>组织流动宣传车深入</w:t>
      </w:r>
      <w:r>
        <w:rPr>
          <w:rFonts w:hint="default" w:ascii="Times New Roman" w:hAnsi="Times New Roman" w:eastAsia="仿宋_GB2312" w:cs="Times New Roman"/>
          <w:sz w:val="32"/>
          <w:szCs w:val="32"/>
          <w:lang w:eastAsia="zh-CN"/>
        </w:rPr>
        <w:t>农村牧区</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kern w:val="2"/>
          <w:sz w:val="32"/>
          <w:szCs w:val="32"/>
          <w:lang w:val="en-US" w:eastAsia="zh-CN" w:bidi="ar-SA"/>
        </w:rPr>
        <w:t>向村民发放以旧换新政府补贴政策明白纸，并现场解答群众咨询，将国家的优惠政策宣传推广到基层。对有购买意向或想去家电商场、专卖店进行现场参观的村民，专门安排大巴车进行免费接送，打通以旧换新“最后一公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（三）落实消费品以旧换新“五进”专项行动。</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bCs w:val="0"/>
          <w:kern w:val="2"/>
          <w:sz w:val="32"/>
          <w:szCs w:val="32"/>
          <w:lang w:val="en-US" w:eastAsia="zh-CN" w:bidi="ar-SA"/>
        </w:rPr>
        <w:t>联合河套学院举办商务领域以旧换新专场宣讲，面向在校师生细致解读补贴政策，发动学生化身政策宣传员，以社群、线下分享等形式扩大政策传播范围。</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组织家电、汽车、数码产品企开展政策专项培训，引导经营主体叠加推出专属折扣、置换让利等配套优惠，放大补贴政策拉动效应。</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b w:val="0"/>
          <w:bCs w:val="0"/>
          <w:kern w:val="2"/>
          <w:sz w:val="32"/>
          <w:szCs w:val="32"/>
          <w:lang w:val="en-US" w:eastAsia="zh-CN" w:bidi="ar-SA"/>
        </w:rPr>
        <w:t>聚力商圈造势，在文博、维多利、黄河湾等核心商圈布设宣传点位，指导商家举办家博会、汽车展销会等人气展会，依托商圈客流集中优势现场讲解以旧换新流程，有效吸引市民参与置换消费。</w:t>
      </w:r>
      <w:r>
        <w:rPr>
          <w:rFonts w:hint="default" w:ascii="Times New Roman" w:hAnsi="Times New Roman" w:eastAsia="仿宋_GB2312" w:cs="Times New Roman"/>
          <w:b/>
          <w:bCs/>
          <w:kern w:val="2"/>
          <w:sz w:val="32"/>
          <w:szCs w:val="32"/>
          <w:lang w:val="en-US" w:eastAsia="zh-CN" w:bidi="ar-SA"/>
        </w:rPr>
        <w:t>四是</w:t>
      </w:r>
      <w:r>
        <w:rPr>
          <w:rFonts w:hint="default" w:ascii="Times New Roman" w:hAnsi="Times New Roman" w:eastAsia="仿宋_GB2312" w:cs="Times New Roman"/>
          <w:b w:val="0"/>
          <w:bCs w:val="0"/>
          <w:kern w:val="2"/>
          <w:sz w:val="32"/>
          <w:szCs w:val="32"/>
          <w:lang w:val="en-US" w:eastAsia="zh-CN" w:bidi="ar-SA"/>
        </w:rPr>
        <w:t>联动机关企事业单位、工会面向机关、国企职工推出家电置换专项补贴、职工专属汽车内购补贴，精准挖掘职工消费需求。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二、健全回收体系，畅通更新消费循环</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kern w:val="2"/>
          <w:sz w:val="32"/>
          <w:szCs w:val="32"/>
          <w:lang w:val="en-US" w:eastAsia="zh-CN" w:bidi="ar-SA"/>
        </w:rPr>
        <w:t>（一）规范参与企业，完善废旧家电回收。</w:t>
      </w:r>
      <w:r>
        <w:rPr>
          <w:rFonts w:hint="default" w:ascii="Times New Roman" w:hAnsi="Times New Roman" w:eastAsia="仿宋_GB2312" w:cs="Times New Roman"/>
          <w:sz w:val="32"/>
          <w:szCs w:val="32"/>
          <w:lang w:val="en-US" w:eastAsia="zh-CN"/>
        </w:rPr>
        <w:t>在家电产品以旧换新商户参与活动备案时明确要求企业与有正规回收旧电器资质的企业签订回收协议。</w:t>
      </w:r>
      <w:r>
        <w:rPr>
          <w:rFonts w:hint="default" w:ascii="Times New Roman" w:hAnsi="Times New Roman" w:eastAsia="仿宋_GB2312" w:cs="Times New Roman"/>
          <w:b w:val="0"/>
          <w:bCs w:val="0"/>
          <w:sz w:val="32"/>
          <w:szCs w:val="32"/>
          <w:lang w:val="en-US" w:eastAsia="zh-CN"/>
        </w:rPr>
        <w:t>参与企业需具备提供“上门送新、返程收旧”服务条件，且企业（或其委托的回收企业）必须具备相应回收能力，将回收的旧家电交至有正规资质的家电拆解企业处理，不得私自进行拆解或进行翻新后流入二手市场，</w:t>
      </w:r>
      <w:r>
        <w:rPr>
          <w:rFonts w:hint="default" w:ascii="Times New Roman" w:hAnsi="Times New Roman" w:eastAsia="仿宋_GB2312" w:cs="Times New Roman"/>
          <w:sz w:val="32"/>
          <w:szCs w:val="32"/>
          <w:lang w:val="en-US" w:eastAsia="zh-CN"/>
        </w:rPr>
        <w:t>切实维护市场秩序与消费者合法权益。</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（二）畅通回收渠道，优化线上服务。</w:t>
      </w:r>
      <w:r>
        <w:rPr>
          <w:rFonts w:hint="default" w:ascii="Times New Roman" w:hAnsi="Times New Roman" w:eastAsia="仿宋_GB2312" w:cs="Times New Roman"/>
          <w:sz w:val="32"/>
          <w:szCs w:val="32"/>
          <w:lang w:val="en-US" w:eastAsia="zh-CN"/>
        </w:rPr>
        <w:t>在以旧换新领券页面，消费者可选择“收旧小程序”线上上传旧家电信息，预约上门回收服务，进一步便利消费者处理旧家电。</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加强市场监管，维护消费者权益</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lang w:eastAsia="zh-CN"/>
        </w:rPr>
        <w:t>压实企业主体责任，要求参与活动企业自愿作出诚信经营承诺，对虚假交易套取骗取补贴资金的，无条件退出政策实施。</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督促</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县区组织开展抽查巡查，实施属地监管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充分发挥市场监管和</w:t>
      </w:r>
      <w:r>
        <w:rPr>
          <w:rFonts w:hint="default" w:ascii="Times New Roman" w:hAnsi="Times New Roman" w:eastAsia="仿宋_GB2312" w:cs="Times New Roman"/>
          <w:sz w:val="32"/>
          <w:szCs w:val="32"/>
          <w:lang w:eastAsia="zh-CN"/>
        </w:rPr>
        <w:t>税务</w:t>
      </w:r>
      <w:r>
        <w:rPr>
          <w:rFonts w:hint="default" w:ascii="Times New Roman" w:hAnsi="Times New Roman" w:eastAsia="仿宋_GB2312" w:cs="Times New Roman"/>
          <w:sz w:val="32"/>
          <w:szCs w:val="32"/>
        </w:rPr>
        <w:t>部门力量，严厉打击变相涨价、故意囤货、骗取或套取补贴资金等违法违规行为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联合发改委、市场监管局多次进行实地检查，共检查企业169家，</w:t>
      </w:r>
      <w:r>
        <w:rPr>
          <w:rFonts w:hint="default" w:ascii="Times New Roman" w:hAnsi="Times New Roman" w:eastAsia="仿宋_GB2312" w:cs="Times New Roman"/>
          <w:sz w:val="32"/>
          <w:szCs w:val="32"/>
          <w:highlight w:val="none"/>
          <w:lang w:val="en-US" w:eastAsia="zh-CN"/>
        </w:rPr>
        <w:t>重点围绕商户以旧换新交易台账、发票规范、进销台账、产品价格、明码标价、产品质量等进行了检查，进一步规范参与消费品以旧换新企业经营行为，促进巴彦淖尔市消费品“以旧换新”活动规范、有序开展。</w:t>
      </w:r>
      <w:r>
        <w:rPr>
          <w:rFonts w:hint="default" w:ascii="Times New Roman" w:hAnsi="Times New Roman" w:eastAsia="仿宋_GB2312" w:cs="Times New Roman"/>
          <w:b/>
          <w:bCs/>
          <w:sz w:val="32"/>
          <w:szCs w:val="32"/>
          <w:lang w:eastAsia="zh-CN"/>
        </w:rPr>
        <w:t>四</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rPr>
        <w:t>强化社会监督，公布监督举报电话，鼓励市民投诉举报相关违法违规行为。</w:t>
      </w:r>
      <w:r>
        <w:rPr>
          <w:rFonts w:hint="default" w:ascii="Times New Roman" w:hAnsi="Times New Roman" w:eastAsia="仿宋_GB2312" w:cs="Times New Roman"/>
          <w:b/>
          <w:bCs/>
          <w:sz w:val="32"/>
          <w:szCs w:val="32"/>
          <w:lang w:eastAsia="zh-CN"/>
        </w:rPr>
        <w:t>五是</w:t>
      </w:r>
      <w:r>
        <w:rPr>
          <w:rFonts w:hint="default" w:ascii="Times New Roman" w:hAnsi="Times New Roman" w:eastAsia="仿宋_GB2312" w:cs="Times New Roman"/>
          <w:sz w:val="32"/>
          <w:szCs w:val="32"/>
        </w:rPr>
        <w:t>引入第三方审计，委托会计师事务所对企业交易材料进行全程审计，确保资金使用安全、规范。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截至</w:t>
      </w:r>
      <w:r>
        <w:rPr>
          <w:rFonts w:hint="eastAsia" w:ascii="Times New Roman" w:hAnsi="Times New Roman" w:eastAsia="仿宋_GB2312" w:cs="Times New Roman"/>
          <w:sz w:val="32"/>
          <w:szCs w:val="32"/>
          <w:lang w:val="en-US" w:eastAsia="zh-CN"/>
        </w:rPr>
        <w:t>2026年上半年，全市消费品以旧换新交易商品12.4万台/件，发放补贴8388.9万元，拉动消费8.18亿元。</w:t>
      </w:r>
      <w:r>
        <w:rPr>
          <w:rFonts w:hint="default" w:ascii="Times New Roman" w:hAnsi="Times New Roman" w:eastAsia="仿宋_GB2312" w:cs="Times New Roman"/>
          <w:sz w:val="32"/>
          <w:szCs w:val="32"/>
        </w:rPr>
        <w:t>下一步，我局将</w:t>
      </w:r>
      <w:r>
        <w:rPr>
          <w:rFonts w:hint="default" w:ascii="Times New Roman" w:hAnsi="Times New Roman" w:eastAsia="仿宋_GB2312" w:cs="Times New Roman"/>
          <w:sz w:val="32"/>
          <w:szCs w:val="32"/>
          <w:lang w:eastAsia="zh-CN"/>
        </w:rPr>
        <w:t>继续</w:t>
      </w:r>
      <w:r>
        <w:rPr>
          <w:rFonts w:hint="default" w:ascii="Times New Roman" w:hAnsi="Times New Roman" w:eastAsia="仿宋_GB2312" w:cs="Times New Roman"/>
          <w:sz w:val="32"/>
          <w:szCs w:val="32"/>
        </w:rPr>
        <w:t>抓实消费品以旧换新各项工作，持续拓宽宣传渠道、丰富宣传形式，扩大政策知晓覆盖面；严格规范补贴申报审核流程，提速补贴资金拨付进度，全程做好流程监管，及时妥善处置群众咨询诉求，切实维护广大消费者合法权益，持续放大以旧换新促消费实效，不断培育壮大消费新动能。</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4800" w:firstLineChars="15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巴彦淖尔市商务局</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jc w:val="left"/>
        <w:textAlignment w:val="auto"/>
        <w:rPr>
          <w:rFonts w:hint="default"/>
        </w:rPr>
      </w:pPr>
    </w:p>
    <w:p>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签发人：乌德木</w:t>
      </w:r>
    </w:p>
    <w:p>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承办人：刘泽华</w:t>
      </w:r>
    </w:p>
    <w:p>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  话：0478-8922697</w:t>
      </w:r>
    </w:p>
    <w:p>
      <w:pPr>
        <w:pStyle w:val="2"/>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4C7B56A0"/>
    <w:rsid w:val="6FABF516"/>
    <w:rsid w:val="772F87B9"/>
    <w:rsid w:val="7DFF0A35"/>
    <w:rsid w:val="7F0F809A"/>
    <w:rsid w:val="7FFFAF3F"/>
    <w:rsid w:val="E7DB3B51"/>
    <w:rsid w:val="FF9EF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after="120"/>
      <w:ind w:left="420" w:leftChars="200" w:right="0" w:firstLine="420" w:firstLineChars="200"/>
      <w:jc w:val="both"/>
    </w:pPr>
    <w:rPr>
      <w:rFonts w:ascii="Calibri" w:hAnsi="Calibri" w:eastAsia="宋体" w:cs="Calibri"/>
      <w:kern w:val="2"/>
      <w:sz w:val="21"/>
      <w:szCs w:val="24"/>
      <w:lang w:val="en-US" w:eastAsia="zh-CN" w:bidi="ar-SA"/>
    </w:rPr>
  </w:style>
  <w:style w:type="paragraph" w:styleId="3">
    <w:name w:val="Body Text Indent"/>
    <w:basedOn w:val="1"/>
    <w:next w:val="1"/>
    <w:qFormat/>
    <w:uiPriority w:val="0"/>
    <w:pPr>
      <w:widowControl w:val="0"/>
      <w:spacing w:before="0" w:after="120"/>
      <w:ind w:left="420" w:leftChars="200" w:right="0"/>
      <w:jc w:val="both"/>
    </w:pPr>
    <w:rPr>
      <w:rFonts w:ascii="Calibri" w:hAnsi="Calibri" w:eastAsia="宋体" w:cs="Calibri"/>
      <w:kern w:val="2"/>
      <w:sz w:val="21"/>
      <w:szCs w:val="24"/>
      <w:lang w:val="en-US" w:eastAsia="zh-CN" w:bidi="ar-SA"/>
    </w:rPr>
  </w:style>
  <w:style w:type="paragraph" w:styleId="4">
    <w:name w:val="Body Text"/>
    <w:basedOn w:val="1"/>
    <w:qFormat/>
    <w:uiPriority w:val="0"/>
    <w:pPr>
      <w:spacing w:after="12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user</cp:lastModifiedBy>
  <dcterms:modified xsi:type="dcterms:W3CDTF">2026-07-24T16:04:04Z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A7CFBF4128A19CCD4CF8616A2D76AB08</vt:lpwstr>
  </property>
</Properties>
</file>