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巴彦淖尔市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商务领域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经营主体合规经营清单</w:t>
      </w:r>
    </w:p>
    <w:tbl>
      <w:tblPr>
        <w:tblStyle w:val="5"/>
        <w:tblpPr w:leftFromText="180" w:rightFromText="180" w:vertAnchor="text" w:horzAnchor="page" w:tblpX="1422" w:tblpY="6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240"/>
        <w:gridCol w:w="1869"/>
        <w:gridCol w:w="2618"/>
        <w:gridCol w:w="5236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128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12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类别</w:t>
            </w:r>
          </w:p>
        </w:tc>
        <w:tc>
          <w:tcPr>
            <w:tcW w:w="1869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eastAsia="zh-CN"/>
              </w:rPr>
              <w:t>合规事项</w:t>
            </w:r>
          </w:p>
        </w:tc>
        <w:tc>
          <w:tcPr>
            <w:tcW w:w="2618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常见违法行为表现</w:t>
            </w:r>
          </w:p>
        </w:tc>
        <w:tc>
          <w:tcPr>
            <w:tcW w:w="5236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/>
                <w:vertAlign w:val="baseline"/>
                <w:lang w:eastAsia="zh-CN"/>
              </w:rPr>
              <w:t>法律法规依据及违法责任</w:t>
            </w:r>
          </w:p>
        </w:tc>
        <w:tc>
          <w:tcPr>
            <w:tcW w:w="2083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合规经营建议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</w:trPr>
        <w:tc>
          <w:tcPr>
            <w:tcW w:w="1128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拍卖企业经营行为</w:t>
            </w:r>
          </w:p>
        </w:tc>
        <w:tc>
          <w:tcPr>
            <w:tcW w:w="1869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依法开展拍卖经营活动</w:t>
            </w:r>
          </w:p>
        </w:tc>
        <w:tc>
          <w:tcPr>
            <w:tcW w:w="2618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对拍卖标的进行虚假宣传，给买受人造成经济损失</w:t>
            </w:r>
          </w:p>
        </w:tc>
        <w:tc>
          <w:tcPr>
            <w:tcW w:w="5236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《拍卖管理办法》是为规范拍卖行为，维护拍卖秩序，推动拍卖业的对外开放，促进拍卖业健康发展而制定的法规，2004年11月15日，《拍卖管理办法》经商务部第14次部务会议审议通过，现予公布，自2005年1月1日起施行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《拍卖管理办法》</w:t>
            </w:r>
            <w:r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第三十条 拍卖企业应当依法开展拍卖活动，不得有下列行为: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(一)出租、擅自转让拍卖经营权;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(二)对拍卖标的进行虚假宣传，给买受人造成经济损失;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(三)雇佣未依法注册的拍卖师或其他人员充任拍卖师主持拍卖活动的;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(四)采用恶意降低佣金比例或低于拍卖活动成本收取佣金，甚至不收取佣金(义拍除外)或给予委托人回扣等手段进行不正当竞争的;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</w:tc>
        <w:tc>
          <w:tcPr>
            <w:tcW w:w="20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在拍卖活动中严格遵守</w:t>
            </w:r>
            <w:r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《拍卖管理办法》</w:t>
            </w:r>
            <w:r>
              <w:rPr>
                <w:rFonts w:hint="eastAsia"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，依法从事拍卖经营活动，确保所有拍卖行为合法合规，不触碰法律红线。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sans-serif" w:hAnsi="sans-serif" w:eastAsia="宋体" w:cs="sans-serif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">
    <w:panose1 w:val="020B0600000000000000"/>
    <w:charset w:val="86"/>
    <w:family w:val="auto"/>
    <w:pitch w:val="default"/>
    <w:sig w:usb0="30000083" w:usb1="2BDF3C10" w:usb2="00000016" w:usb3="00000000" w:csb0="602E0107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FB4ABBB"/>
    <w:rsid w:val="4A1947CF"/>
    <w:rsid w:val="5FF6B75F"/>
    <w:rsid w:val="6D7FEF52"/>
    <w:rsid w:val="73DFD492"/>
    <w:rsid w:val="7EFF6A90"/>
    <w:rsid w:val="FE996783"/>
    <w:rsid w:val="FF8DC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Ansi="Courier New" w:eastAsia="等线" w:cs="Courier New"/>
      <w:kern w:val="2"/>
      <w:sz w:val="21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user</cp:lastModifiedBy>
  <dcterms:modified xsi:type="dcterms:W3CDTF">2024-12-06T11:26:21Z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